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13394" w14:textId="00ED22AF" w:rsidR="00570901" w:rsidRPr="0001203C" w:rsidRDefault="00570901" w:rsidP="00570901">
      <w:pPr>
        <w:keepNext/>
        <w:spacing w:after="0"/>
        <w:jc w:val="center"/>
        <w:rPr>
          <w:b/>
          <w:color w:val="0070C0"/>
          <w:sz w:val="28"/>
        </w:rPr>
      </w:pPr>
      <w:r>
        <w:rPr>
          <w:b/>
          <w:color w:val="0070C0"/>
          <w:sz w:val="28"/>
        </w:rPr>
        <w:t>Template for developing p</w:t>
      </w:r>
      <w:r w:rsidRPr="0001203C">
        <w:rPr>
          <w:b/>
          <w:color w:val="0070C0"/>
          <w:sz w:val="28"/>
        </w:rPr>
        <w:t xml:space="preserve">rovincial </w:t>
      </w:r>
      <w:r>
        <w:rPr>
          <w:b/>
          <w:color w:val="0070C0"/>
          <w:sz w:val="28"/>
        </w:rPr>
        <w:t>g</w:t>
      </w:r>
      <w:r w:rsidRPr="0001203C">
        <w:rPr>
          <w:b/>
          <w:color w:val="0070C0"/>
          <w:sz w:val="28"/>
        </w:rPr>
        <w:t>ender</w:t>
      </w:r>
      <w:r>
        <w:rPr>
          <w:b/>
          <w:color w:val="0070C0"/>
          <w:sz w:val="28"/>
        </w:rPr>
        <w:t>-b</w:t>
      </w:r>
      <w:r w:rsidRPr="0001203C">
        <w:rPr>
          <w:b/>
          <w:color w:val="0070C0"/>
          <w:sz w:val="28"/>
        </w:rPr>
        <w:t xml:space="preserve">ased </w:t>
      </w:r>
      <w:r>
        <w:rPr>
          <w:b/>
          <w:color w:val="0070C0"/>
          <w:sz w:val="28"/>
        </w:rPr>
        <w:t>v</w:t>
      </w:r>
      <w:r w:rsidRPr="0001203C">
        <w:rPr>
          <w:b/>
          <w:color w:val="0070C0"/>
          <w:sz w:val="28"/>
        </w:rPr>
        <w:t xml:space="preserve">iolence </w:t>
      </w:r>
      <w:r>
        <w:rPr>
          <w:b/>
          <w:color w:val="0070C0"/>
          <w:sz w:val="28"/>
        </w:rPr>
        <w:t>s</w:t>
      </w:r>
      <w:r w:rsidRPr="0001203C">
        <w:rPr>
          <w:b/>
          <w:color w:val="0070C0"/>
          <w:sz w:val="28"/>
        </w:rPr>
        <w:t>trateg</w:t>
      </w:r>
      <w:r>
        <w:rPr>
          <w:b/>
          <w:color w:val="0070C0"/>
          <w:sz w:val="28"/>
        </w:rPr>
        <w:t>ies</w:t>
      </w:r>
    </w:p>
    <w:p w14:paraId="47F61ADC" w14:textId="0A8092F6" w:rsidR="00570901" w:rsidRPr="00570901" w:rsidRDefault="00570901" w:rsidP="00570901">
      <w:pPr>
        <w:jc w:val="center"/>
        <w:rPr>
          <w:b/>
          <w:bCs/>
          <w:i/>
          <w:iCs/>
        </w:rPr>
      </w:pPr>
      <w:r w:rsidRPr="00570901">
        <w:rPr>
          <w:b/>
          <w:bCs/>
          <w:i/>
          <w:iCs/>
        </w:rPr>
        <w:t>August 2021</w:t>
      </w:r>
    </w:p>
    <w:p w14:paraId="049B112E" w14:textId="1783B172" w:rsidR="00570901" w:rsidRDefault="00570901" w:rsidP="00570901">
      <w:pPr>
        <w:jc w:val="center"/>
        <w:rPr>
          <w:i/>
          <w:iCs/>
        </w:rPr>
      </w:pPr>
      <w:r>
        <w:rPr>
          <w:i/>
          <w:iCs/>
        </w:rPr>
        <w:t xml:space="preserve">Developed by the Department for Community Development &amp; Religion </w:t>
      </w:r>
      <w:r>
        <w:rPr>
          <w:i/>
          <w:iCs/>
        </w:rPr>
        <w:br/>
        <w:t>and UNDP PNG Spotlight Initiative Team</w:t>
      </w:r>
    </w:p>
    <w:p w14:paraId="5EECBDE2" w14:textId="3C6CAB38" w:rsidR="002C1263" w:rsidRDefault="002C1263" w:rsidP="002C1263">
      <w:pPr>
        <w:jc w:val="both"/>
      </w:pPr>
      <w:r w:rsidRPr="000112C8">
        <w:t xml:space="preserve">This template is intended to </w:t>
      </w:r>
      <w:r w:rsidR="000112C8">
        <w:t xml:space="preserve">assist </w:t>
      </w:r>
      <w:r w:rsidRPr="000112C8">
        <w:t xml:space="preserve">provincial GBV stakeholders when they are developing their own provincial GBV strategies. </w:t>
      </w:r>
      <w:r w:rsidR="00C76796">
        <w:t xml:space="preserve">Already, there is a National GBV Strategy in place, from 2016 to 2025, and a number of provinces have also developed their own strategies. </w:t>
      </w:r>
      <w:r w:rsidR="00C76796" w:rsidRPr="000112C8">
        <w:t>It is clear that there is no one-size-fits-all approach to addressing GBV. That said, this template draws on lessons learned from existing GBV Strategies</w:t>
      </w:r>
      <w:r w:rsidR="00C76796">
        <w:t xml:space="preserve">. </w:t>
      </w:r>
      <w:r w:rsidR="00C76796">
        <w:t>Links to those strategies are provided below</w:t>
      </w:r>
      <w:r w:rsidR="00174CF6">
        <w:t>:</w:t>
      </w:r>
    </w:p>
    <w:p w14:paraId="5642FB1A"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b/>
          <w:bCs/>
          <w:spacing w:val="5"/>
          <w:lang w:eastAsia="en-AU"/>
        </w:rPr>
        <w:t>CURRENT NATIONAL GBV STRATEGY</w:t>
      </w:r>
    </w:p>
    <w:p w14:paraId="62A7F3FA" w14:textId="77777777" w:rsidR="00F06522" w:rsidRPr="00F06522" w:rsidRDefault="00F06522" w:rsidP="00F06522">
      <w:pPr>
        <w:numPr>
          <w:ilvl w:val="0"/>
          <w:numId w:val="2"/>
        </w:numPr>
        <w:spacing w:after="0" w:line="240" w:lineRule="auto"/>
        <w:rPr>
          <w:rFonts w:eastAsia="Times New Roman" w:cstheme="minorHAnsi"/>
          <w:spacing w:val="5"/>
          <w:lang w:eastAsia="en-AU"/>
        </w:rPr>
      </w:pPr>
      <w:hyperlink r:id="rId8" w:tgtFrame="_blank" w:history="1">
        <w:r w:rsidRPr="00F06522">
          <w:rPr>
            <w:rFonts w:eastAsia="Times New Roman" w:cstheme="minorHAnsi"/>
            <w:color w:val="0000FF"/>
            <w:spacing w:val="5"/>
            <w:u w:val="single"/>
            <w:lang w:eastAsia="en-AU"/>
          </w:rPr>
          <w:t>PNG National Strategy to Prevent and Respond to Gender Based Violence 2016-2025</w:t>
        </w:r>
      </w:hyperlink>
    </w:p>
    <w:p w14:paraId="6047AE5C" w14:textId="77777777" w:rsidR="00F06522" w:rsidRPr="00F06522" w:rsidRDefault="00F06522" w:rsidP="00F06522">
      <w:pPr>
        <w:numPr>
          <w:ilvl w:val="0"/>
          <w:numId w:val="2"/>
        </w:numPr>
        <w:spacing w:after="0" w:line="240" w:lineRule="auto"/>
        <w:rPr>
          <w:rFonts w:eastAsia="Times New Roman" w:cstheme="minorHAnsi"/>
          <w:spacing w:val="5"/>
          <w:lang w:eastAsia="en-AU"/>
        </w:rPr>
      </w:pPr>
      <w:hyperlink r:id="rId9" w:tgtFrame="_blank" w:history="1">
        <w:r w:rsidRPr="00F06522">
          <w:rPr>
            <w:rFonts w:eastAsia="Times New Roman" w:cstheme="minorHAnsi"/>
            <w:color w:val="0000FF"/>
            <w:spacing w:val="5"/>
            <w:u w:val="single"/>
            <w:lang w:eastAsia="en-AU"/>
          </w:rPr>
          <w:t>PNG National Implementation Plan to Prevent and Respond to Gender Based Violence 2016-2025</w:t>
        </w:r>
      </w:hyperlink>
    </w:p>
    <w:p w14:paraId="38F8F8E2" w14:textId="77777777" w:rsidR="00F06522" w:rsidRPr="00F06522" w:rsidRDefault="00F06522" w:rsidP="00F06522">
      <w:pPr>
        <w:numPr>
          <w:ilvl w:val="0"/>
          <w:numId w:val="2"/>
        </w:numPr>
        <w:spacing w:after="0" w:line="240" w:lineRule="auto"/>
        <w:rPr>
          <w:rFonts w:eastAsia="Times New Roman" w:cstheme="minorHAnsi"/>
          <w:spacing w:val="5"/>
          <w:lang w:eastAsia="en-AU"/>
        </w:rPr>
      </w:pPr>
      <w:hyperlink r:id="rId10" w:tgtFrame="_blank" w:history="1">
        <w:r w:rsidRPr="00F06522">
          <w:rPr>
            <w:rFonts w:eastAsia="Times New Roman" w:cstheme="minorHAnsi"/>
            <w:color w:val="0000FF"/>
            <w:spacing w:val="5"/>
            <w:u w:val="single"/>
            <w:lang w:eastAsia="en-AU"/>
          </w:rPr>
          <w:t>PNG Sorcery National Action Plan 2015</w:t>
        </w:r>
      </w:hyperlink>
    </w:p>
    <w:p w14:paraId="4270BA70"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lang w:eastAsia="en-AU"/>
        </w:rPr>
        <w:t>​</w:t>
      </w:r>
    </w:p>
    <w:p w14:paraId="79AD2756"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lang w:eastAsia="en-AU"/>
        </w:rPr>
        <w:t>​</w:t>
      </w:r>
      <w:r w:rsidRPr="00F06522">
        <w:rPr>
          <w:rFonts w:eastAsia="Times New Roman" w:cstheme="minorHAnsi"/>
          <w:b/>
          <w:bCs/>
          <w:spacing w:val="5"/>
          <w:lang w:eastAsia="en-AU"/>
        </w:rPr>
        <w:t>​CURRENT PROVINCIAL GBV STRATEGIES</w:t>
      </w:r>
    </w:p>
    <w:p w14:paraId="02CB077B" w14:textId="77777777" w:rsidR="00F06522" w:rsidRPr="00F06522" w:rsidRDefault="00F06522" w:rsidP="00F06522">
      <w:pPr>
        <w:numPr>
          <w:ilvl w:val="0"/>
          <w:numId w:val="3"/>
        </w:numPr>
        <w:spacing w:after="0" w:line="240" w:lineRule="auto"/>
        <w:rPr>
          <w:rFonts w:eastAsia="Times New Roman" w:cstheme="minorHAnsi"/>
          <w:spacing w:val="5"/>
          <w:lang w:eastAsia="en-AU"/>
        </w:rPr>
      </w:pPr>
      <w:hyperlink r:id="rId11" w:tgtFrame="_blank" w:history="1">
        <w:r w:rsidRPr="00F06522">
          <w:rPr>
            <w:rFonts w:eastAsia="Times New Roman" w:cstheme="minorHAnsi"/>
            <w:color w:val="0000FF"/>
            <w:spacing w:val="5"/>
            <w:u w:val="single"/>
            <w:lang w:eastAsia="en-AU"/>
          </w:rPr>
          <w:t>National Capital District Commission 2020 to 2022 Strategy to End Gender-Based Violence</w:t>
        </w:r>
      </w:hyperlink>
    </w:p>
    <w:p w14:paraId="41EAA943" w14:textId="77777777" w:rsidR="00F06522" w:rsidRPr="00F06522" w:rsidRDefault="00F06522" w:rsidP="00F06522">
      <w:pPr>
        <w:numPr>
          <w:ilvl w:val="0"/>
          <w:numId w:val="3"/>
        </w:numPr>
        <w:spacing w:after="0" w:line="240" w:lineRule="auto"/>
        <w:rPr>
          <w:rFonts w:eastAsia="Times New Roman" w:cstheme="minorHAnsi"/>
          <w:spacing w:val="5"/>
          <w:lang w:eastAsia="en-AU"/>
        </w:rPr>
      </w:pPr>
      <w:hyperlink r:id="rId12" w:tgtFrame="_blank" w:history="1">
        <w:r w:rsidRPr="00F06522">
          <w:rPr>
            <w:rFonts w:eastAsia="Times New Roman" w:cstheme="minorHAnsi"/>
            <w:color w:val="0000FF"/>
            <w:spacing w:val="5"/>
            <w:u w:val="single"/>
            <w:lang w:eastAsia="en-AU"/>
          </w:rPr>
          <w:t>East New Britain Gender-Based Violence Strategic Plan (2016-2020)</w:t>
        </w:r>
      </w:hyperlink>
      <w:r w:rsidRPr="00F06522">
        <w:rPr>
          <w:rFonts w:eastAsia="Times New Roman" w:cstheme="minorHAnsi"/>
          <w:spacing w:val="5"/>
          <w:u w:val="single"/>
          <w:lang w:eastAsia="en-AU"/>
        </w:rPr>
        <w:t>​</w:t>
      </w:r>
      <w:r w:rsidRPr="00F06522">
        <w:rPr>
          <w:rFonts w:eastAsia="Times New Roman" w:cstheme="minorHAnsi"/>
          <w:spacing w:val="5"/>
          <w:lang w:eastAsia="en-AU"/>
        </w:rPr>
        <w:t xml:space="preserve"> ​- extended to 2021.</w:t>
      </w:r>
    </w:p>
    <w:p w14:paraId="626C564B" w14:textId="77777777" w:rsidR="00F06522" w:rsidRPr="00F06522" w:rsidRDefault="00F06522" w:rsidP="00F06522">
      <w:pPr>
        <w:numPr>
          <w:ilvl w:val="0"/>
          <w:numId w:val="3"/>
        </w:numPr>
        <w:spacing w:after="0" w:line="240" w:lineRule="auto"/>
        <w:rPr>
          <w:rFonts w:eastAsia="Times New Roman" w:cstheme="minorHAnsi"/>
          <w:spacing w:val="5"/>
          <w:lang w:eastAsia="en-AU"/>
        </w:rPr>
      </w:pPr>
      <w:hyperlink r:id="rId13" w:tgtFrame="_blank" w:history="1">
        <w:r w:rsidRPr="00F06522">
          <w:rPr>
            <w:rFonts w:eastAsia="Times New Roman" w:cstheme="minorHAnsi"/>
            <w:color w:val="0000FF"/>
            <w:spacing w:val="5"/>
            <w:u w:val="single"/>
            <w:lang w:eastAsia="en-AU"/>
          </w:rPr>
          <w:t>Jiwaka Gender-Based Violence Strategy &amp; Action Plan (2017-2026)</w:t>
        </w:r>
      </w:hyperlink>
    </w:p>
    <w:p w14:paraId="71375BC0"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spacing w:val="5"/>
          <w:u w:val="single"/>
          <w:lang w:eastAsia="en-AU"/>
        </w:rPr>
        <w:t>​​</w:t>
      </w:r>
    </w:p>
    <w:p w14:paraId="73C7D327"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lang w:eastAsia="en-AU"/>
        </w:rPr>
        <w:t>​</w:t>
      </w:r>
      <w:r w:rsidRPr="00F06522">
        <w:rPr>
          <w:rFonts w:eastAsia="Times New Roman" w:cstheme="minorHAnsi"/>
          <w:b/>
          <w:bCs/>
          <w:spacing w:val="5"/>
          <w:lang w:eastAsia="en-AU"/>
        </w:rPr>
        <w:t>DRAFT PROVINCIAL GBV STRATEGIES</w:t>
      </w:r>
    </w:p>
    <w:p w14:paraId="53FC697E" w14:textId="77777777" w:rsidR="00F06522" w:rsidRPr="00F06522" w:rsidRDefault="00F06522" w:rsidP="00F06522">
      <w:pPr>
        <w:numPr>
          <w:ilvl w:val="0"/>
          <w:numId w:val="4"/>
        </w:numPr>
        <w:spacing w:after="0" w:line="240" w:lineRule="auto"/>
        <w:rPr>
          <w:rFonts w:eastAsia="Times New Roman" w:cstheme="minorHAnsi"/>
          <w:spacing w:val="5"/>
          <w:lang w:eastAsia="en-AU"/>
        </w:rPr>
      </w:pPr>
      <w:hyperlink r:id="rId14" w:tgtFrame="_blank" w:history="1">
        <w:r w:rsidRPr="00F06522">
          <w:rPr>
            <w:rFonts w:eastAsia="Times New Roman" w:cstheme="minorHAnsi"/>
            <w:color w:val="0000FF"/>
            <w:spacing w:val="5"/>
            <w:u w:val="single"/>
            <w:lang w:eastAsia="en-AU"/>
          </w:rPr>
          <w:t>West New Britain Gender-Based Violence Strategic Plan (2021-2025) DRAFT</w:t>
        </w:r>
      </w:hyperlink>
    </w:p>
    <w:p w14:paraId="1567D706"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lang w:eastAsia="en-AU"/>
        </w:rPr>
        <w:t>​</w:t>
      </w:r>
    </w:p>
    <w:p w14:paraId="4BB0C943" w14:textId="77777777" w:rsidR="00F06522" w:rsidRPr="00F06522" w:rsidRDefault="00F06522" w:rsidP="00F06522">
      <w:pPr>
        <w:spacing w:after="0" w:line="240" w:lineRule="auto"/>
        <w:rPr>
          <w:rFonts w:eastAsia="Times New Roman" w:cstheme="minorHAnsi"/>
          <w:lang w:eastAsia="en-AU"/>
        </w:rPr>
      </w:pPr>
      <w:r w:rsidRPr="00F06522">
        <w:rPr>
          <w:rFonts w:eastAsia="Times New Roman" w:cstheme="minorHAnsi"/>
          <w:b/>
          <w:bCs/>
          <w:spacing w:val="5"/>
          <w:lang w:eastAsia="en-AU"/>
        </w:rPr>
        <w:t>OUTDATED PROVINCIAL GBV STRATEGIES</w:t>
      </w:r>
    </w:p>
    <w:p w14:paraId="5825DF23" w14:textId="77777777" w:rsidR="00F06522" w:rsidRPr="00F06522" w:rsidRDefault="00F06522" w:rsidP="00F06522">
      <w:pPr>
        <w:numPr>
          <w:ilvl w:val="0"/>
          <w:numId w:val="5"/>
        </w:numPr>
        <w:spacing w:after="0" w:line="240" w:lineRule="auto"/>
        <w:rPr>
          <w:rFonts w:eastAsia="Times New Roman" w:cstheme="minorHAnsi"/>
          <w:spacing w:val="5"/>
          <w:lang w:eastAsia="en-AU"/>
        </w:rPr>
      </w:pPr>
      <w:hyperlink r:id="rId15" w:tgtFrame="_blank" w:history="1">
        <w:r w:rsidRPr="00F06522">
          <w:rPr>
            <w:rFonts w:eastAsia="Times New Roman" w:cstheme="minorHAnsi"/>
            <w:color w:val="0000FF"/>
            <w:spacing w:val="5"/>
            <w:u w:val="single"/>
            <w:lang w:eastAsia="en-AU"/>
          </w:rPr>
          <w:t>Morobe Province Family and Sexual Violence Strategic Plan 2015 - 2017</w:t>
        </w:r>
      </w:hyperlink>
    </w:p>
    <w:p w14:paraId="3FEE2CB6" w14:textId="77777777" w:rsidR="00F06522" w:rsidRPr="00F06522" w:rsidRDefault="00F06522" w:rsidP="00F06522">
      <w:pPr>
        <w:numPr>
          <w:ilvl w:val="0"/>
          <w:numId w:val="5"/>
        </w:numPr>
        <w:spacing w:after="0" w:line="240" w:lineRule="auto"/>
        <w:rPr>
          <w:rFonts w:eastAsia="Times New Roman" w:cstheme="minorHAnsi"/>
          <w:spacing w:val="5"/>
          <w:lang w:eastAsia="en-AU"/>
        </w:rPr>
      </w:pPr>
      <w:hyperlink r:id="rId16" w:tgtFrame="_blank" w:history="1">
        <w:r w:rsidRPr="00F06522">
          <w:rPr>
            <w:rFonts w:eastAsia="Times New Roman" w:cstheme="minorHAnsi"/>
            <w:color w:val="0000FF"/>
            <w:spacing w:val="5"/>
            <w:u w:val="single"/>
            <w:lang w:eastAsia="en-AU"/>
          </w:rPr>
          <w:t>Sandaun (West Sepik) Provincial Gender-Based Violence Strategic Plan (January 2016 - December 2019)</w:t>
        </w:r>
      </w:hyperlink>
    </w:p>
    <w:p w14:paraId="7E141731" w14:textId="77777777" w:rsidR="00F06522" w:rsidRPr="000112C8" w:rsidRDefault="00F06522" w:rsidP="00C23420">
      <w:pPr>
        <w:spacing w:after="0"/>
        <w:jc w:val="both"/>
      </w:pPr>
    </w:p>
    <w:p w14:paraId="762B39EA" w14:textId="0492910B" w:rsidR="00687BFE" w:rsidRDefault="006F523B" w:rsidP="006F523B">
      <w:pPr>
        <w:jc w:val="both"/>
      </w:pPr>
      <w:r>
        <w:t xml:space="preserve">This template </w:t>
      </w:r>
      <w:r w:rsidR="00687BFE">
        <w:t xml:space="preserve">is designed to enable provinces </w:t>
      </w:r>
      <w:r>
        <w:t xml:space="preserve">to align </w:t>
      </w:r>
      <w:r w:rsidR="00687BFE">
        <w:t xml:space="preserve">their </w:t>
      </w:r>
      <w:r>
        <w:t>provincial GBV strateg</w:t>
      </w:r>
      <w:r w:rsidR="00687BFE">
        <w:t>y</w:t>
      </w:r>
      <w:r>
        <w:t xml:space="preserve"> with the national GBV strategy. Accordingly, </w:t>
      </w:r>
      <w:r w:rsidR="00687BFE">
        <w:t xml:space="preserve">the template </w:t>
      </w:r>
      <w:r>
        <w:t>uses the same four overarching objectives as the foundation on which to build a provincially</w:t>
      </w:r>
      <w:r w:rsidR="00A410FC">
        <w:t xml:space="preserve"> </w:t>
      </w:r>
      <w:r>
        <w:t>spe</w:t>
      </w:r>
      <w:r w:rsidR="00117513">
        <w:t>c</w:t>
      </w:r>
      <w:r>
        <w:t xml:space="preserve">ific set </w:t>
      </w:r>
      <w:r w:rsidR="00A410FC">
        <w:t xml:space="preserve">of </w:t>
      </w:r>
      <w:r>
        <w:t>outputs and activities</w:t>
      </w:r>
      <w:r w:rsidR="00687BFE">
        <w:t>.</w:t>
      </w:r>
      <w:r w:rsidR="00A410FC">
        <w:t xml:space="preserve"> </w:t>
      </w:r>
    </w:p>
    <w:p w14:paraId="16075DF5" w14:textId="3BA55788" w:rsidR="006F523B" w:rsidRDefault="00687BFE" w:rsidP="006F523B">
      <w:pPr>
        <w:jc w:val="both"/>
      </w:pPr>
      <w:r>
        <w:t xml:space="preserve">Drawing on good practice in other provinces, it is anticipated that the </w:t>
      </w:r>
      <w:r w:rsidR="00EC2ADA">
        <w:t>provincial GBV strategy will be developed through a participatory process</w:t>
      </w:r>
      <w:r w:rsidR="008A2E4C">
        <w:t xml:space="preserve">, led by an existing GBV Secretariat and/or </w:t>
      </w:r>
      <w:r w:rsidR="00EC2ADA">
        <w:t xml:space="preserve">GBV Action Committee (GBVAC). At a minimum, key government and non-government GBV stakeholders should be involved, </w:t>
      </w:r>
      <w:r w:rsidR="00A320C2">
        <w:t xml:space="preserve">for example, </w:t>
      </w:r>
      <w:r w:rsidR="00EC2ADA">
        <w:t>from the Provincial Government, Department for Community Development and Religion, RPNGC</w:t>
      </w:r>
      <w:r w:rsidR="00A320C2">
        <w:t xml:space="preserve">, </w:t>
      </w:r>
      <w:r w:rsidR="00EC2ADA">
        <w:t>Provincial Health Authorities</w:t>
      </w:r>
      <w:r w:rsidR="00A320C2">
        <w:t>, village and district courts</w:t>
      </w:r>
      <w:r w:rsidR="00EC2ADA">
        <w:t xml:space="preserve">, as well as civil society organisations providing GBV services. </w:t>
      </w:r>
    </w:p>
    <w:p w14:paraId="18066ADB" w14:textId="6A26A031" w:rsidR="00ED2BC1" w:rsidRDefault="0078400E" w:rsidP="006F523B">
      <w:pPr>
        <w:jc w:val="both"/>
      </w:pPr>
      <w:r>
        <w:t xml:space="preserve">The process does not need to be overly complicated. People involved in </w:t>
      </w:r>
      <w:r w:rsidR="00174CF6">
        <w:t xml:space="preserve">developing the strategy </w:t>
      </w:r>
      <w:r>
        <w:t xml:space="preserve">will likely already have a solid understanding of what is going on in the province in relation to GBV and what more needs to be done. Ideally, these ideas can be discussed </w:t>
      </w:r>
      <w:r w:rsidR="00174CF6">
        <w:t xml:space="preserve">and documented at </w:t>
      </w:r>
      <w:r>
        <w:t xml:space="preserve">1-2 </w:t>
      </w:r>
      <w:r w:rsidR="00174CF6">
        <w:t xml:space="preserve">group </w:t>
      </w:r>
      <w:r>
        <w:t xml:space="preserve">meetings, with </w:t>
      </w:r>
      <w:r w:rsidR="00174CF6">
        <w:t xml:space="preserve">the </w:t>
      </w:r>
      <w:r>
        <w:t xml:space="preserve">focus </w:t>
      </w:r>
      <w:r w:rsidR="00174CF6">
        <w:t xml:space="preserve">clearly directed at </w:t>
      </w:r>
      <w:r>
        <w:t>agreeing on a clear, practical set of activities</w:t>
      </w:r>
      <w:r w:rsidR="00174CF6">
        <w:t xml:space="preserve">, which will </w:t>
      </w:r>
      <w:r>
        <w:t>improve GBV prevention and crisis response</w:t>
      </w:r>
      <w:r w:rsidR="00174CF6">
        <w:t xml:space="preserve">. </w:t>
      </w:r>
      <w:r w:rsidR="00A410FC">
        <w:t xml:space="preserve">These activities need to be clear enough that they can be properly costed, funds raised and then implemented in a timely manner. </w:t>
      </w:r>
    </w:p>
    <w:p w14:paraId="511BCC6E" w14:textId="765809E4" w:rsidR="0078400E" w:rsidRDefault="00ED2BC1" w:rsidP="006F523B">
      <w:pPr>
        <w:jc w:val="both"/>
      </w:pPr>
      <w:r>
        <w:t xml:space="preserve">At the end of the process, you can ask: </w:t>
      </w:r>
      <w:r w:rsidRPr="00DF1198">
        <w:rPr>
          <w:i/>
          <w:iCs/>
        </w:rPr>
        <w:t>“If we implement all of these activities over the next 3 years, do we believe that GBV will be reduced and that GBV survivors will get the assistance they need?”</w:t>
      </w:r>
      <w:r w:rsidR="007E3847">
        <w:t xml:space="preserve"> </w:t>
      </w:r>
    </w:p>
    <w:p w14:paraId="61032C5F" w14:textId="66DC69EA" w:rsidR="007B3295" w:rsidRPr="0001203C" w:rsidRDefault="00A410FC" w:rsidP="00A410FC">
      <w:pPr>
        <w:spacing w:after="60"/>
        <w:jc w:val="center"/>
        <w:rPr>
          <w:b/>
          <w:color w:val="0070C0"/>
          <w:sz w:val="28"/>
        </w:rPr>
      </w:pPr>
      <w:r>
        <w:rPr>
          <w:b/>
          <w:color w:val="0070C0"/>
          <w:sz w:val="28"/>
        </w:rPr>
        <w:br w:type="page"/>
      </w:r>
      <w:r w:rsidR="002C1263">
        <w:rPr>
          <w:b/>
          <w:color w:val="0070C0"/>
          <w:sz w:val="28"/>
        </w:rPr>
        <w:lastRenderedPageBreak/>
        <w:t xml:space="preserve">[Name] </w:t>
      </w:r>
      <w:r w:rsidR="0001203C" w:rsidRPr="0001203C">
        <w:rPr>
          <w:b/>
          <w:color w:val="0070C0"/>
          <w:sz w:val="28"/>
        </w:rPr>
        <w:t>Provincial Gender Based Violence Strategy</w:t>
      </w:r>
    </w:p>
    <w:p w14:paraId="63E21B11" w14:textId="6490BB1C" w:rsidR="0001203C" w:rsidRPr="0001203C" w:rsidRDefault="0001203C" w:rsidP="0001203C">
      <w:pPr>
        <w:jc w:val="center"/>
        <w:rPr>
          <w:b/>
          <w:color w:val="0070C0"/>
          <w:sz w:val="28"/>
        </w:rPr>
      </w:pPr>
      <w:r w:rsidRPr="0001203C">
        <w:rPr>
          <w:b/>
          <w:color w:val="0070C0"/>
          <w:sz w:val="28"/>
        </w:rPr>
        <w:t>2022 to 2025</w:t>
      </w:r>
    </w:p>
    <w:p w14:paraId="670F1A6F" w14:textId="5086469B" w:rsidR="00B37FB5" w:rsidRPr="00B37FB5" w:rsidRDefault="00B37FB5" w:rsidP="00B37FB5">
      <w:pPr>
        <w:jc w:val="both"/>
        <w:rPr>
          <w:i/>
          <w:iCs/>
        </w:rPr>
      </w:pPr>
      <w:r>
        <w:rPr>
          <w:i/>
          <w:iCs/>
        </w:rPr>
        <w:t>The t</w:t>
      </w:r>
      <w:r w:rsidRPr="00B37FB5">
        <w:rPr>
          <w:i/>
          <w:iCs/>
        </w:rPr>
        <w:t xml:space="preserve">imeline </w:t>
      </w:r>
      <w:r>
        <w:rPr>
          <w:i/>
          <w:iCs/>
        </w:rPr>
        <w:t xml:space="preserve">for provincial GBV strategies </w:t>
      </w:r>
      <w:r w:rsidRPr="00B37FB5">
        <w:rPr>
          <w:i/>
          <w:iCs/>
        </w:rPr>
        <w:t xml:space="preserve">is assumed to be 2022 to 2025 so that all provincial GBV strategies can </w:t>
      </w:r>
      <w:r>
        <w:rPr>
          <w:i/>
          <w:iCs/>
        </w:rPr>
        <w:t xml:space="preserve">be </w:t>
      </w:r>
      <w:r w:rsidRPr="00B37FB5">
        <w:rPr>
          <w:i/>
          <w:iCs/>
        </w:rPr>
        <w:t>align</w:t>
      </w:r>
      <w:r>
        <w:rPr>
          <w:i/>
          <w:iCs/>
        </w:rPr>
        <w:t>ed</w:t>
      </w:r>
      <w:r w:rsidRPr="00B37FB5">
        <w:rPr>
          <w:i/>
          <w:iCs/>
        </w:rPr>
        <w:t xml:space="preserve"> with the </w:t>
      </w:r>
      <w:r>
        <w:rPr>
          <w:i/>
          <w:iCs/>
        </w:rPr>
        <w:t xml:space="preserve">current </w:t>
      </w:r>
      <w:r w:rsidRPr="00B37FB5">
        <w:rPr>
          <w:i/>
          <w:iCs/>
        </w:rPr>
        <w:t>National GBV Strategy which runs up to 2025. It is anticipated that when the new National GBV Strategy is developed, provincial teams can also develop</w:t>
      </w:r>
      <w:r>
        <w:rPr>
          <w:i/>
          <w:iCs/>
        </w:rPr>
        <w:t>/update</w:t>
      </w:r>
      <w:r w:rsidRPr="00B37FB5">
        <w:rPr>
          <w:i/>
          <w:iCs/>
        </w:rPr>
        <w:t xml:space="preserve"> </w:t>
      </w:r>
      <w:r>
        <w:rPr>
          <w:i/>
          <w:iCs/>
        </w:rPr>
        <w:t>complementary provincial GBV strategies</w:t>
      </w:r>
      <w:r w:rsidR="00D13594">
        <w:rPr>
          <w:i/>
          <w:iCs/>
        </w:rPr>
        <w:t xml:space="preserve">. </w:t>
      </w:r>
    </w:p>
    <w:p w14:paraId="50C74A18" w14:textId="3E60B40B" w:rsidR="00BC4BD0" w:rsidRPr="00464400" w:rsidRDefault="00BC4BD0" w:rsidP="00464400">
      <w:pPr>
        <w:pStyle w:val="Heading1"/>
      </w:pPr>
      <w:r w:rsidRPr="00464400">
        <w:t xml:space="preserve">Introduction </w:t>
      </w:r>
    </w:p>
    <w:p w14:paraId="1EE7D3BA" w14:textId="5DC61336" w:rsidR="00BC4BD0" w:rsidRPr="00B37FB5" w:rsidRDefault="0001203C" w:rsidP="0053273B">
      <w:pPr>
        <w:pStyle w:val="ListParagraph"/>
        <w:numPr>
          <w:ilvl w:val="0"/>
          <w:numId w:val="6"/>
        </w:numPr>
        <w:ind w:left="360"/>
        <w:rPr>
          <w:i/>
          <w:iCs/>
        </w:rPr>
      </w:pPr>
      <w:r w:rsidRPr="00B37FB5">
        <w:rPr>
          <w:i/>
          <w:iCs/>
        </w:rPr>
        <w:t xml:space="preserve">Why are you developing this Provincial GBV Strategy? </w:t>
      </w:r>
    </w:p>
    <w:p w14:paraId="7525FE83" w14:textId="7E90A89C" w:rsidR="0001203C" w:rsidRPr="00B37FB5" w:rsidRDefault="0001203C" w:rsidP="0053273B">
      <w:pPr>
        <w:pStyle w:val="ListParagraph"/>
        <w:numPr>
          <w:ilvl w:val="0"/>
          <w:numId w:val="6"/>
        </w:numPr>
        <w:ind w:left="360"/>
        <w:rPr>
          <w:i/>
          <w:iCs/>
        </w:rPr>
      </w:pPr>
      <w:r w:rsidRPr="00B37FB5">
        <w:rPr>
          <w:i/>
          <w:iCs/>
        </w:rPr>
        <w:t>Some information about GBV in your province – key issues and any statistics you have</w:t>
      </w:r>
    </w:p>
    <w:p w14:paraId="4ED05414" w14:textId="025D08C6" w:rsidR="0001203C" w:rsidRPr="00B37FB5" w:rsidRDefault="0001203C" w:rsidP="0053273B">
      <w:pPr>
        <w:pStyle w:val="ListParagraph"/>
        <w:numPr>
          <w:ilvl w:val="0"/>
          <w:numId w:val="6"/>
        </w:numPr>
        <w:ind w:left="360"/>
        <w:rPr>
          <w:i/>
          <w:iCs/>
        </w:rPr>
      </w:pPr>
      <w:r w:rsidRPr="00B37FB5">
        <w:rPr>
          <w:i/>
          <w:iCs/>
        </w:rPr>
        <w:t xml:space="preserve">What was the process for developing this Strategy – who was involved? </w:t>
      </w:r>
    </w:p>
    <w:p w14:paraId="5E7A013B" w14:textId="6F1F825E" w:rsidR="00D13594" w:rsidRPr="00D13594" w:rsidRDefault="00D13594" w:rsidP="00464400">
      <w:pPr>
        <w:pStyle w:val="Heading1"/>
      </w:pPr>
      <w:r>
        <w:t xml:space="preserve">Existing provincial GBV structures and activities </w:t>
      </w:r>
    </w:p>
    <w:p w14:paraId="3688C219" w14:textId="77777777" w:rsidR="00DC3CCE" w:rsidRDefault="00C8706C" w:rsidP="00C8706C">
      <w:pPr>
        <w:jc w:val="both"/>
        <w:rPr>
          <w:i/>
          <w:iCs/>
        </w:rPr>
      </w:pPr>
      <w:r>
        <w:rPr>
          <w:i/>
          <w:iCs/>
        </w:rPr>
        <w:t>You can provide this information in a table, in bullets or any other way</w:t>
      </w:r>
      <w:r>
        <w:rPr>
          <w:i/>
          <w:iCs/>
        </w:rPr>
        <w:t xml:space="preserve"> that you like</w:t>
      </w:r>
      <w:r>
        <w:rPr>
          <w:i/>
          <w:iCs/>
        </w:rPr>
        <w:t xml:space="preserve">. What you are trying to do is to provide a snapshot of what is going on </w:t>
      </w:r>
      <w:r>
        <w:rPr>
          <w:i/>
          <w:iCs/>
        </w:rPr>
        <w:t xml:space="preserve">in your province </w:t>
      </w:r>
      <w:r>
        <w:rPr>
          <w:i/>
          <w:iCs/>
        </w:rPr>
        <w:t xml:space="preserve">at the start of the strategy’s implementation, </w:t>
      </w:r>
      <w:r>
        <w:rPr>
          <w:i/>
          <w:iCs/>
        </w:rPr>
        <w:t xml:space="preserve">so that </w:t>
      </w:r>
      <w:r>
        <w:rPr>
          <w:i/>
          <w:iCs/>
        </w:rPr>
        <w:t xml:space="preserve">you </w:t>
      </w:r>
      <w:r>
        <w:rPr>
          <w:i/>
          <w:iCs/>
        </w:rPr>
        <w:t xml:space="preserve">can then </w:t>
      </w:r>
      <w:r>
        <w:rPr>
          <w:i/>
          <w:iCs/>
        </w:rPr>
        <w:t xml:space="preserve">track progress later on. </w:t>
      </w:r>
    </w:p>
    <w:p w14:paraId="0E715574" w14:textId="77777777" w:rsidR="00DC3CCE" w:rsidRDefault="00C8706C" w:rsidP="00C8706C">
      <w:pPr>
        <w:jc w:val="both"/>
        <w:rPr>
          <w:i/>
          <w:iCs/>
        </w:rPr>
      </w:pPr>
      <w:r>
        <w:rPr>
          <w:i/>
          <w:iCs/>
        </w:rPr>
        <w:t>This</w:t>
      </w:r>
      <w:r>
        <w:rPr>
          <w:i/>
          <w:iCs/>
        </w:rPr>
        <w:t xml:space="preserve"> is not intended to be long analysis, but rather </w:t>
      </w:r>
      <w:r w:rsidR="00DC3CCE">
        <w:rPr>
          <w:i/>
          <w:iCs/>
        </w:rPr>
        <w:t xml:space="preserve">it should </w:t>
      </w:r>
      <w:r>
        <w:rPr>
          <w:i/>
          <w:iCs/>
        </w:rPr>
        <w:t xml:space="preserve">help people who may not be familiar with the GBV work going on in </w:t>
      </w:r>
      <w:r w:rsidR="00DC3CCE">
        <w:rPr>
          <w:i/>
          <w:iCs/>
        </w:rPr>
        <w:t>your</w:t>
      </w:r>
      <w:r>
        <w:rPr>
          <w:i/>
          <w:iCs/>
        </w:rPr>
        <w:t xml:space="preserve"> province to get a quick and clear understanding of </w:t>
      </w:r>
      <w:r w:rsidR="00DC3CCE">
        <w:rPr>
          <w:i/>
          <w:iCs/>
        </w:rPr>
        <w:t>existing institutions, services and activities</w:t>
      </w:r>
      <w:r>
        <w:rPr>
          <w:i/>
          <w:iCs/>
        </w:rPr>
        <w:t xml:space="preserve">, but also what the key gaps are that the strategy is seeking to address. </w:t>
      </w:r>
    </w:p>
    <w:p w14:paraId="7E306293" w14:textId="46C8AB27" w:rsidR="00C8706C" w:rsidRPr="00C8706C" w:rsidRDefault="00C8706C" w:rsidP="00C8706C">
      <w:pPr>
        <w:jc w:val="both"/>
        <w:rPr>
          <w:i/>
          <w:iCs/>
        </w:rPr>
      </w:pPr>
      <w:r>
        <w:rPr>
          <w:i/>
          <w:iCs/>
        </w:rPr>
        <w:t xml:space="preserve">When writing – </w:t>
      </w:r>
      <w:r w:rsidR="00523AEE">
        <w:rPr>
          <w:i/>
          <w:iCs/>
        </w:rPr>
        <w:t xml:space="preserve">it’s useful to </w:t>
      </w:r>
      <w:r>
        <w:rPr>
          <w:i/>
          <w:iCs/>
        </w:rPr>
        <w:t xml:space="preserve">think about what you might want Members of your Provincial Assembly to know about GBV if they were reading this strategy. </w:t>
      </w:r>
      <w:r w:rsidR="00523AEE">
        <w:rPr>
          <w:i/>
          <w:iCs/>
        </w:rPr>
        <w:t>You will be lobbying them for funding of the Strategy, so this is your chance to make a strong case for why that funding is needed.</w:t>
      </w:r>
    </w:p>
    <w:p w14:paraId="6A839F37" w14:textId="1F2F8C91" w:rsidR="00D95626" w:rsidRPr="0053273B" w:rsidRDefault="00D95626" w:rsidP="0053273B">
      <w:pPr>
        <w:pStyle w:val="ListParagraph"/>
        <w:numPr>
          <w:ilvl w:val="0"/>
          <w:numId w:val="7"/>
        </w:numPr>
        <w:ind w:left="360"/>
        <w:rPr>
          <w:i/>
          <w:iCs/>
        </w:rPr>
      </w:pPr>
      <w:r w:rsidRPr="0053273B">
        <w:rPr>
          <w:i/>
          <w:iCs/>
        </w:rPr>
        <w:t>Some information about GBV in your province – key issues and any statistics you have</w:t>
      </w:r>
    </w:p>
    <w:p w14:paraId="072A8037" w14:textId="77777777" w:rsidR="00D95626" w:rsidRPr="00D95626" w:rsidRDefault="00D95626" w:rsidP="00D95626">
      <w:pPr>
        <w:pStyle w:val="ListParagraph"/>
        <w:ind w:left="360"/>
        <w:rPr>
          <w:i/>
          <w:iCs/>
        </w:rPr>
      </w:pPr>
    </w:p>
    <w:p w14:paraId="014424B1" w14:textId="32475C2B" w:rsidR="00401046" w:rsidRDefault="00401046" w:rsidP="0053273B">
      <w:pPr>
        <w:pStyle w:val="ListParagraph"/>
        <w:numPr>
          <w:ilvl w:val="0"/>
          <w:numId w:val="7"/>
        </w:numPr>
        <w:ind w:left="360"/>
        <w:rPr>
          <w:i/>
          <w:iCs/>
        </w:rPr>
      </w:pPr>
      <w:r>
        <w:rPr>
          <w:i/>
          <w:iCs/>
        </w:rPr>
        <w:t>Are there any existing provincial plans or sectoral documents relevant to GBV work</w:t>
      </w:r>
      <w:r w:rsidR="00301566">
        <w:rPr>
          <w:i/>
          <w:iCs/>
        </w:rPr>
        <w:t xml:space="preserve"> that should be referenced? </w:t>
      </w:r>
    </w:p>
    <w:p w14:paraId="2E40599E" w14:textId="6332E68D" w:rsidR="00401046" w:rsidRPr="00401046" w:rsidRDefault="00401046" w:rsidP="00401046">
      <w:pPr>
        <w:pStyle w:val="ListParagraph"/>
        <w:rPr>
          <w:i/>
          <w:iCs/>
        </w:rPr>
      </w:pPr>
    </w:p>
    <w:p w14:paraId="2616CD7D" w14:textId="5EFF3FEC" w:rsidR="003A5787" w:rsidRPr="0053273B" w:rsidRDefault="003A5787" w:rsidP="0053273B">
      <w:pPr>
        <w:pStyle w:val="ListParagraph"/>
        <w:numPr>
          <w:ilvl w:val="0"/>
          <w:numId w:val="7"/>
        </w:numPr>
        <w:ind w:left="360"/>
        <w:rPr>
          <w:i/>
          <w:iCs/>
        </w:rPr>
      </w:pPr>
      <w:r w:rsidRPr="0053273B">
        <w:rPr>
          <w:i/>
          <w:iCs/>
        </w:rPr>
        <w:t>Who is already working on GBV in your provinces</w:t>
      </w:r>
      <w:r w:rsidR="00D95626" w:rsidRPr="0053273B">
        <w:rPr>
          <w:i/>
          <w:iCs/>
        </w:rPr>
        <w:t>?</w:t>
      </w:r>
      <w:r w:rsidR="00597470" w:rsidRPr="0053273B">
        <w:rPr>
          <w:i/>
          <w:iCs/>
        </w:rPr>
        <w:t xml:space="preserve"> </w:t>
      </w:r>
    </w:p>
    <w:p w14:paraId="61F35443" w14:textId="147D62A2" w:rsidR="003A5787" w:rsidRDefault="003A5787" w:rsidP="00903053">
      <w:pPr>
        <w:pStyle w:val="ListParagraph"/>
        <w:numPr>
          <w:ilvl w:val="1"/>
          <w:numId w:val="1"/>
        </w:numPr>
        <w:ind w:left="720"/>
        <w:rPr>
          <w:i/>
          <w:iCs/>
        </w:rPr>
      </w:pPr>
      <w:r>
        <w:rPr>
          <w:i/>
          <w:iCs/>
        </w:rPr>
        <w:t xml:space="preserve">Is there a GBV secretariat? If so, </w:t>
      </w:r>
      <w:r w:rsidR="00903053">
        <w:rPr>
          <w:i/>
          <w:iCs/>
        </w:rPr>
        <w:t>how many staff are employed</w:t>
      </w:r>
      <w:r>
        <w:rPr>
          <w:i/>
          <w:iCs/>
        </w:rPr>
        <w:t xml:space="preserve">, </w:t>
      </w:r>
      <w:r w:rsidR="00903053">
        <w:rPr>
          <w:i/>
          <w:iCs/>
        </w:rPr>
        <w:t xml:space="preserve">by what agency, with </w:t>
      </w:r>
      <w:r>
        <w:rPr>
          <w:i/>
          <w:iCs/>
        </w:rPr>
        <w:t>what funding</w:t>
      </w:r>
      <w:r w:rsidR="00903053">
        <w:rPr>
          <w:i/>
          <w:iCs/>
        </w:rPr>
        <w:t xml:space="preserve">? </w:t>
      </w:r>
      <w:r w:rsidR="00903053">
        <w:rPr>
          <w:i/>
          <w:iCs/>
        </w:rPr>
        <w:t>What activities has it been implementing?</w:t>
      </w:r>
    </w:p>
    <w:p w14:paraId="7A174AE3" w14:textId="293D96F4" w:rsidR="003A5787" w:rsidRDefault="003A5787" w:rsidP="00903053">
      <w:pPr>
        <w:pStyle w:val="ListParagraph"/>
        <w:numPr>
          <w:ilvl w:val="1"/>
          <w:numId w:val="1"/>
        </w:numPr>
        <w:ind w:left="720"/>
        <w:rPr>
          <w:i/>
          <w:iCs/>
        </w:rPr>
      </w:pPr>
      <w:r>
        <w:rPr>
          <w:i/>
          <w:iCs/>
        </w:rPr>
        <w:t xml:space="preserve">Is there a </w:t>
      </w:r>
      <w:r>
        <w:rPr>
          <w:i/>
          <w:iCs/>
        </w:rPr>
        <w:t>GBV action committee</w:t>
      </w:r>
      <w:r>
        <w:rPr>
          <w:i/>
          <w:iCs/>
        </w:rPr>
        <w:t xml:space="preserve">? </w:t>
      </w:r>
      <w:r w:rsidR="00903053">
        <w:rPr>
          <w:i/>
          <w:iCs/>
        </w:rPr>
        <w:t xml:space="preserve">If so, who are its members? Is it funded? What activities has it been implementing? </w:t>
      </w:r>
    </w:p>
    <w:p w14:paraId="3AD4C7A9" w14:textId="01521CE8" w:rsidR="00903053" w:rsidRDefault="00903053" w:rsidP="00903053">
      <w:pPr>
        <w:pStyle w:val="ListParagraph"/>
        <w:numPr>
          <w:ilvl w:val="1"/>
          <w:numId w:val="1"/>
        </w:numPr>
        <w:ind w:left="720"/>
        <w:rPr>
          <w:i/>
          <w:iCs/>
        </w:rPr>
      </w:pPr>
      <w:r>
        <w:rPr>
          <w:i/>
          <w:iCs/>
        </w:rPr>
        <w:t xml:space="preserve">What NGOs and/or faith-based organisations are working on GBV? What are they doing? </w:t>
      </w:r>
    </w:p>
    <w:p w14:paraId="44513996" w14:textId="77777777" w:rsidR="00903053" w:rsidRDefault="00903053" w:rsidP="00903053">
      <w:pPr>
        <w:pStyle w:val="ListParagraph"/>
        <w:numPr>
          <w:ilvl w:val="1"/>
          <w:numId w:val="1"/>
        </w:numPr>
        <w:ind w:left="720"/>
        <w:rPr>
          <w:i/>
          <w:iCs/>
        </w:rPr>
      </w:pPr>
      <w:r>
        <w:rPr>
          <w:i/>
          <w:iCs/>
        </w:rPr>
        <w:t>What other GBV structures exist in your province</w:t>
      </w:r>
    </w:p>
    <w:p w14:paraId="462BACC0" w14:textId="06735275" w:rsidR="00903053" w:rsidRDefault="00903053" w:rsidP="00903053">
      <w:pPr>
        <w:pStyle w:val="ListParagraph"/>
        <w:numPr>
          <w:ilvl w:val="2"/>
          <w:numId w:val="1"/>
        </w:numPr>
        <w:ind w:left="1080"/>
        <w:rPr>
          <w:i/>
          <w:iCs/>
        </w:rPr>
      </w:pPr>
      <w:r>
        <w:rPr>
          <w:i/>
          <w:iCs/>
        </w:rPr>
        <w:t>Is there a police Family and Sexual Violence Unit</w:t>
      </w:r>
      <w:r w:rsidR="00975EFB">
        <w:rPr>
          <w:i/>
          <w:iCs/>
        </w:rPr>
        <w:t xml:space="preserve">? If so, where? How many staff? What level of service does it provide? </w:t>
      </w:r>
    </w:p>
    <w:p w14:paraId="112EFA4B" w14:textId="59EC3C98" w:rsidR="00975EFB" w:rsidRDefault="00975EFB" w:rsidP="00903053">
      <w:pPr>
        <w:pStyle w:val="ListParagraph"/>
        <w:numPr>
          <w:ilvl w:val="2"/>
          <w:numId w:val="1"/>
        </w:numPr>
        <w:ind w:left="1080"/>
        <w:rPr>
          <w:i/>
          <w:iCs/>
        </w:rPr>
      </w:pPr>
      <w:r>
        <w:rPr>
          <w:i/>
          <w:iCs/>
        </w:rPr>
        <w:t xml:space="preserve">Is there a Family Service Centre? If so, where? </w:t>
      </w:r>
      <w:r>
        <w:rPr>
          <w:i/>
          <w:iCs/>
        </w:rPr>
        <w:t>What level of service does it provide?</w:t>
      </w:r>
    </w:p>
    <w:p w14:paraId="7DA8188A" w14:textId="77777777" w:rsidR="002C1263" w:rsidRPr="00B37FB5" w:rsidRDefault="002C1263" w:rsidP="002C1263">
      <w:pPr>
        <w:pStyle w:val="ListParagraph"/>
        <w:ind w:left="1440"/>
        <w:rPr>
          <w:i/>
          <w:iCs/>
        </w:rPr>
      </w:pPr>
    </w:p>
    <w:p w14:paraId="647D800B" w14:textId="1D7B13FD" w:rsidR="00D95626" w:rsidRPr="0053273B" w:rsidRDefault="00D95626" w:rsidP="0053273B">
      <w:pPr>
        <w:pStyle w:val="ListParagraph"/>
        <w:numPr>
          <w:ilvl w:val="0"/>
          <w:numId w:val="8"/>
        </w:numPr>
        <w:ind w:left="360"/>
        <w:rPr>
          <w:i/>
          <w:iCs/>
        </w:rPr>
      </w:pPr>
      <w:r w:rsidRPr="0053273B">
        <w:rPr>
          <w:i/>
          <w:iCs/>
        </w:rPr>
        <w:t>What are the main gaps in prevention and crisis response services</w:t>
      </w:r>
      <w:r w:rsidR="009B4B8C" w:rsidRPr="0053273B">
        <w:rPr>
          <w:i/>
          <w:iCs/>
        </w:rPr>
        <w:t>?</w:t>
      </w:r>
    </w:p>
    <w:p w14:paraId="15BA9672" w14:textId="34E073BB" w:rsidR="009B4B8C" w:rsidRDefault="009B4B8C" w:rsidP="009B4B8C">
      <w:pPr>
        <w:pStyle w:val="ListParagraph"/>
        <w:numPr>
          <w:ilvl w:val="1"/>
          <w:numId w:val="1"/>
        </w:numPr>
        <w:ind w:left="720"/>
        <w:rPr>
          <w:i/>
          <w:iCs/>
        </w:rPr>
      </w:pPr>
      <w:r>
        <w:rPr>
          <w:i/>
          <w:iCs/>
        </w:rPr>
        <w:t xml:space="preserve">You may want to break this up per district </w:t>
      </w:r>
    </w:p>
    <w:p w14:paraId="21C49FBB" w14:textId="18A00D4B" w:rsidR="00672034" w:rsidRDefault="00672034" w:rsidP="009B4B8C">
      <w:pPr>
        <w:pStyle w:val="ListParagraph"/>
        <w:numPr>
          <w:ilvl w:val="1"/>
          <w:numId w:val="1"/>
        </w:numPr>
        <w:ind w:left="720"/>
        <w:rPr>
          <w:i/>
          <w:iCs/>
        </w:rPr>
      </w:pPr>
      <w:r>
        <w:rPr>
          <w:i/>
          <w:iCs/>
        </w:rPr>
        <w:t xml:space="preserve">Be sure to consider whether there are specific gaps related to the needs of (1) women; (2) young people (3) children (4) people living with disabilities </w:t>
      </w:r>
    </w:p>
    <w:p w14:paraId="4F2AA6E0" w14:textId="378EA1B9" w:rsidR="004E49C6" w:rsidRDefault="004E49C6" w:rsidP="004E49C6">
      <w:pPr>
        <w:rPr>
          <w:i/>
          <w:iCs/>
        </w:rPr>
      </w:pPr>
    </w:p>
    <w:tbl>
      <w:tblPr>
        <w:tblStyle w:val="TableGrid"/>
        <w:tblW w:w="0" w:type="auto"/>
        <w:tblLook w:val="04A0" w:firstRow="1" w:lastRow="0" w:firstColumn="1" w:lastColumn="0" w:noHBand="0" w:noVBand="1"/>
      </w:tblPr>
      <w:tblGrid>
        <w:gridCol w:w="8905"/>
      </w:tblGrid>
      <w:tr w:rsidR="004E49C6" w14:paraId="2905AC3B" w14:textId="77777777" w:rsidTr="007F71AC">
        <w:trPr>
          <w:trHeight w:val="7832"/>
        </w:trPr>
        <w:tc>
          <w:tcPr>
            <w:tcW w:w="8905" w:type="dxa"/>
            <w:shd w:val="clear" w:color="auto" w:fill="D9E2F3" w:themeFill="accent1" w:themeFillTint="33"/>
          </w:tcPr>
          <w:p w14:paraId="057BAAF0" w14:textId="20B25913" w:rsidR="004E49C6" w:rsidRDefault="004E49C6" w:rsidP="007F71AC">
            <w:pPr>
              <w:spacing w:before="120" w:after="120"/>
              <w:jc w:val="center"/>
              <w:rPr>
                <w:b/>
                <w:bCs/>
                <w:i/>
                <w:iCs/>
              </w:rPr>
            </w:pPr>
            <w:r>
              <w:rPr>
                <w:b/>
                <w:bCs/>
                <w:i/>
                <w:iCs/>
              </w:rPr>
              <w:lastRenderedPageBreak/>
              <w:t xml:space="preserve">EXAMPLE: </w:t>
            </w:r>
            <w:r>
              <w:rPr>
                <w:b/>
                <w:bCs/>
                <w:i/>
                <w:iCs/>
              </w:rPr>
              <w:t xml:space="preserve">Sandaun Provincial </w:t>
            </w:r>
            <w:r>
              <w:rPr>
                <w:b/>
                <w:bCs/>
                <w:i/>
                <w:iCs/>
              </w:rPr>
              <w:t>GBV Strateg</w:t>
            </w:r>
            <w:r>
              <w:rPr>
                <w:b/>
                <w:bCs/>
                <w:i/>
                <w:iCs/>
              </w:rPr>
              <w:t xml:space="preserve">ic Plan </w:t>
            </w:r>
            <w:r>
              <w:rPr>
                <w:b/>
                <w:bCs/>
                <w:i/>
                <w:iCs/>
              </w:rPr>
              <w:t>(201</w:t>
            </w:r>
            <w:r>
              <w:rPr>
                <w:b/>
                <w:bCs/>
                <w:i/>
                <w:iCs/>
              </w:rPr>
              <w:t>6</w:t>
            </w:r>
            <w:r>
              <w:rPr>
                <w:b/>
                <w:bCs/>
                <w:i/>
                <w:iCs/>
              </w:rPr>
              <w:t>-1</w:t>
            </w:r>
            <w:r>
              <w:rPr>
                <w:b/>
                <w:bCs/>
                <w:i/>
                <w:iCs/>
              </w:rPr>
              <w:t>9</w:t>
            </w:r>
            <w:r>
              <w:rPr>
                <w:b/>
                <w:bCs/>
                <w:i/>
                <w:iCs/>
              </w:rPr>
              <w:t>)</w:t>
            </w:r>
          </w:p>
          <w:p w14:paraId="4689A181" w14:textId="2314B8B9" w:rsidR="004E49C6" w:rsidRPr="004E49C6" w:rsidRDefault="004E49C6" w:rsidP="007F71AC">
            <w:pPr>
              <w:jc w:val="center"/>
              <w:rPr>
                <w:i/>
                <w:iCs/>
              </w:rPr>
            </w:pPr>
            <w:r>
              <w:rPr>
                <w:noProof/>
              </w:rPr>
              <w:drawing>
                <wp:inline distT="0" distB="0" distL="0" distR="0" wp14:anchorId="2969F2FE" wp14:editId="609BC294">
                  <wp:extent cx="4701948" cy="526351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5968" cy="5268016"/>
                          </a:xfrm>
                          <a:prstGeom prst="rect">
                            <a:avLst/>
                          </a:prstGeom>
                        </pic:spPr>
                      </pic:pic>
                    </a:graphicData>
                  </a:graphic>
                </wp:inline>
              </w:drawing>
            </w:r>
          </w:p>
        </w:tc>
      </w:tr>
    </w:tbl>
    <w:p w14:paraId="75DEF4EB" w14:textId="77777777" w:rsidR="004E49C6" w:rsidRPr="004E49C6" w:rsidRDefault="004E49C6" w:rsidP="004E49C6">
      <w:pPr>
        <w:rPr>
          <w:i/>
          <w:iCs/>
        </w:rPr>
      </w:pPr>
    </w:p>
    <w:p w14:paraId="0F3DAC56" w14:textId="55B40FF4" w:rsidR="00AD146E" w:rsidRPr="00AD146E" w:rsidRDefault="00AD146E" w:rsidP="00464400">
      <w:pPr>
        <w:pStyle w:val="Heading1"/>
      </w:pPr>
      <w:r>
        <w:t>Vision and Mission</w:t>
      </w:r>
    </w:p>
    <w:p w14:paraId="3E24BE97" w14:textId="5BFDCE4B" w:rsidR="00B37FB5" w:rsidRDefault="00AD146E">
      <w:pPr>
        <w:rPr>
          <w:i/>
          <w:iCs/>
        </w:rPr>
      </w:pPr>
      <w:r w:rsidRPr="00AD146E">
        <w:rPr>
          <w:i/>
          <w:iCs/>
        </w:rPr>
        <w:t xml:space="preserve">Some proposed text is provided below, which is adapted from the Vision and Mission of the National GBV Strategy. </w:t>
      </w:r>
      <w:r>
        <w:rPr>
          <w:i/>
          <w:iCs/>
        </w:rPr>
        <w:t xml:space="preserve">Please amend this text as appropriate for your province. </w:t>
      </w:r>
      <w:r w:rsidR="005B7A48">
        <w:rPr>
          <w:i/>
          <w:iCs/>
        </w:rPr>
        <w:t xml:space="preserve">You may also want to draw on relevant text from your existing Provincial Strategic Plan. </w:t>
      </w:r>
    </w:p>
    <w:p w14:paraId="32E007FC" w14:textId="1542780E" w:rsidR="00032890" w:rsidRDefault="00032890">
      <w:pPr>
        <w:rPr>
          <w:i/>
          <w:iCs/>
        </w:rPr>
      </w:pPr>
      <w:r>
        <w:rPr>
          <w:i/>
          <w:iCs/>
        </w:rPr>
        <w:t xml:space="preserve">Some provinces have also included values statements or a bulleted list of values </w:t>
      </w:r>
      <w:r w:rsidR="00401046">
        <w:rPr>
          <w:i/>
          <w:iCs/>
        </w:rPr>
        <w:t>which are intended to provide guidance to all people across the province</w:t>
      </w:r>
    </w:p>
    <w:tbl>
      <w:tblPr>
        <w:tblStyle w:val="TableGrid"/>
        <w:tblW w:w="0" w:type="auto"/>
        <w:tblLook w:val="04A0" w:firstRow="1" w:lastRow="0" w:firstColumn="1" w:lastColumn="0" w:noHBand="0" w:noVBand="1"/>
      </w:tblPr>
      <w:tblGrid>
        <w:gridCol w:w="9016"/>
      </w:tblGrid>
      <w:tr w:rsidR="00FD76D8" w14:paraId="4D7B9200" w14:textId="77777777" w:rsidTr="00FD76D8">
        <w:tc>
          <w:tcPr>
            <w:tcW w:w="9016" w:type="dxa"/>
            <w:shd w:val="clear" w:color="auto" w:fill="D9E2F3" w:themeFill="accent1" w:themeFillTint="33"/>
          </w:tcPr>
          <w:p w14:paraId="07F132B8" w14:textId="3CAC7AD7" w:rsidR="00FD76D8" w:rsidRPr="00FD76D8" w:rsidRDefault="00FD76D8" w:rsidP="00FD76D8">
            <w:pPr>
              <w:spacing w:before="120" w:after="120"/>
              <w:jc w:val="center"/>
              <w:rPr>
                <w:b/>
                <w:bCs/>
                <w:i/>
                <w:iCs/>
              </w:rPr>
            </w:pPr>
            <w:r>
              <w:rPr>
                <w:b/>
                <w:bCs/>
                <w:i/>
                <w:iCs/>
              </w:rPr>
              <w:t>PROPOSED TEMPLATE WORDING</w:t>
            </w:r>
          </w:p>
          <w:p w14:paraId="4B338453" w14:textId="77777777" w:rsidR="00FD76D8" w:rsidRPr="005E3AB5" w:rsidRDefault="00FD76D8" w:rsidP="00FD76D8">
            <w:pPr>
              <w:spacing w:after="160" w:line="259" w:lineRule="auto"/>
            </w:pPr>
            <w:r w:rsidRPr="005E3AB5">
              <w:rPr>
                <w:b/>
                <w:bCs/>
              </w:rPr>
              <w:t xml:space="preserve">OUR VISION:  </w:t>
            </w:r>
            <w:r w:rsidRPr="005E3AB5">
              <w:t>A province free from all forms of violence where people respect and support one another.</w:t>
            </w:r>
          </w:p>
          <w:p w14:paraId="054F47A1" w14:textId="45C2B810" w:rsidR="00FD76D8" w:rsidRPr="00FD76D8" w:rsidRDefault="00FD76D8" w:rsidP="00FD76D8">
            <w:pPr>
              <w:spacing w:after="160" w:line="259" w:lineRule="auto"/>
            </w:pPr>
            <w:r w:rsidRPr="005E3AB5">
              <w:rPr>
                <w:b/>
                <w:bCs/>
              </w:rPr>
              <w:t xml:space="preserve">OUR MISSION </w:t>
            </w:r>
            <w:r w:rsidRPr="005E3AB5">
              <w:t>To establish, maintain and strengthen effective, engaged and active partnerships within our provinces to respond to and prevent Gender Based Violence in our communities. By communicating effectively at all levels</w:t>
            </w:r>
            <w:r>
              <w:t>,</w:t>
            </w:r>
            <w:r w:rsidRPr="005E3AB5">
              <w:t xml:space="preserve"> we will ensure improved services to GBV survivors, increased public awareness, shared ownership in line with the National GBV strategy.</w:t>
            </w:r>
          </w:p>
        </w:tc>
      </w:tr>
    </w:tbl>
    <w:p w14:paraId="320472A6" w14:textId="77777777" w:rsidR="00FD76D8" w:rsidRPr="00AD146E" w:rsidRDefault="00FD76D8">
      <w:pPr>
        <w:rPr>
          <w:i/>
          <w:iCs/>
        </w:rPr>
      </w:pPr>
    </w:p>
    <w:p w14:paraId="41134966" w14:textId="03FBCF5D" w:rsidR="005063D4" w:rsidRDefault="003117F8" w:rsidP="00464400">
      <w:pPr>
        <w:pStyle w:val="Heading1"/>
      </w:pPr>
      <w:r>
        <w:lastRenderedPageBreak/>
        <w:t>Outcomes</w:t>
      </w:r>
      <w:r w:rsidR="005063D4">
        <w:t xml:space="preserve"> and </w:t>
      </w:r>
      <w:r w:rsidR="00824A99">
        <w:t>Outputs</w:t>
      </w:r>
    </w:p>
    <w:p w14:paraId="203CD6ED" w14:textId="77777777" w:rsidR="00362177" w:rsidRDefault="00640590" w:rsidP="00980712">
      <w:pPr>
        <w:jc w:val="both"/>
        <w:rPr>
          <w:i/>
          <w:iCs/>
        </w:rPr>
      </w:pPr>
      <w:r w:rsidRPr="00AD146E">
        <w:rPr>
          <w:i/>
          <w:iCs/>
        </w:rPr>
        <w:t xml:space="preserve">Some proposed text </w:t>
      </w:r>
      <w:r>
        <w:rPr>
          <w:i/>
          <w:iCs/>
        </w:rPr>
        <w:t xml:space="preserve">for the </w:t>
      </w:r>
      <w:r w:rsidR="00980712">
        <w:rPr>
          <w:i/>
          <w:iCs/>
        </w:rPr>
        <w:t xml:space="preserve">strategy’s </w:t>
      </w:r>
      <w:r w:rsidR="00362177">
        <w:rPr>
          <w:i/>
          <w:iCs/>
        </w:rPr>
        <w:t xml:space="preserve">outcomes </w:t>
      </w:r>
      <w:r w:rsidRPr="00AD146E">
        <w:rPr>
          <w:i/>
          <w:iCs/>
        </w:rPr>
        <w:t xml:space="preserve">is provided below, which is adapted from </w:t>
      </w:r>
      <w:r>
        <w:rPr>
          <w:i/>
          <w:iCs/>
        </w:rPr>
        <w:t xml:space="preserve">the </w:t>
      </w:r>
      <w:r w:rsidRPr="00AD146E">
        <w:rPr>
          <w:i/>
          <w:iCs/>
        </w:rPr>
        <w:t xml:space="preserve">National GBV Strategy. </w:t>
      </w:r>
      <w:r>
        <w:rPr>
          <w:i/>
          <w:iCs/>
        </w:rPr>
        <w:t xml:space="preserve">Please amend this text as appropriate for your province. </w:t>
      </w:r>
    </w:p>
    <w:tbl>
      <w:tblPr>
        <w:tblStyle w:val="TableGrid"/>
        <w:tblW w:w="0" w:type="auto"/>
        <w:tblLook w:val="04A0" w:firstRow="1" w:lastRow="0" w:firstColumn="1" w:lastColumn="0" w:noHBand="0" w:noVBand="1"/>
      </w:tblPr>
      <w:tblGrid>
        <w:gridCol w:w="9016"/>
      </w:tblGrid>
      <w:tr w:rsidR="007E5BAF" w14:paraId="6B97B7FF" w14:textId="77777777" w:rsidTr="00A07B92">
        <w:tc>
          <w:tcPr>
            <w:tcW w:w="9016" w:type="dxa"/>
            <w:shd w:val="clear" w:color="auto" w:fill="D9D9D9" w:themeFill="background1" w:themeFillShade="D9"/>
          </w:tcPr>
          <w:p w14:paraId="7CABF30A" w14:textId="00CDF2B4" w:rsidR="007E5BAF" w:rsidRDefault="003117F8" w:rsidP="00640590">
            <w:pPr>
              <w:rPr>
                <w:i/>
                <w:iCs/>
              </w:rPr>
            </w:pPr>
            <w:r>
              <w:rPr>
                <w:b/>
                <w:bCs/>
              </w:rPr>
              <w:t xml:space="preserve">Outcome </w:t>
            </w:r>
            <w:r w:rsidR="007E5BAF" w:rsidRPr="005E3AB5">
              <w:rPr>
                <w:b/>
                <w:bCs/>
              </w:rPr>
              <w:t xml:space="preserve">1: </w:t>
            </w:r>
            <w:r w:rsidR="003655AF" w:rsidRPr="003655AF">
              <w:t>P</w:t>
            </w:r>
            <w:r w:rsidR="007E5BAF" w:rsidRPr="005E3AB5">
              <w:t xml:space="preserve">rovincial GBV Secretariat </w:t>
            </w:r>
            <w:r w:rsidR="003655AF">
              <w:t xml:space="preserve">operational and working effectively to </w:t>
            </w:r>
            <w:r w:rsidR="007E5BAF" w:rsidRPr="005E3AB5">
              <w:t>coordinate and support the work of all partners in addressing GBV.</w:t>
            </w:r>
          </w:p>
        </w:tc>
      </w:tr>
    </w:tbl>
    <w:p w14:paraId="019017B9" w14:textId="155F571C" w:rsidR="005E3AB5" w:rsidRDefault="005E3AB5" w:rsidP="00A05DDF">
      <w:pPr>
        <w:spacing w:after="0"/>
      </w:pPr>
    </w:p>
    <w:tbl>
      <w:tblPr>
        <w:tblStyle w:val="TableGrid"/>
        <w:tblW w:w="0" w:type="auto"/>
        <w:tblLook w:val="04A0" w:firstRow="1" w:lastRow="0" w:firstColumn="1" w:lastColumn="0" w:noHBand="0" w:noVBand="1"/>
      </w:tblPr>
      <w:tblGrid>
        <w:gridCol w:w="9016"/>
      </w:tblGrid>
      <w:tr w:rsidR="007E5BAF" w14:paraId="5A28FA83" w14:textId="77777777" w:rsidTr="00A07B92">
        <w:tc>
          <w:tcPr>
            <w:tcW w:w="9016" w:type="dxa"/>
            <w:shd w:val="clear" w:color="auto" w:fill="D9D9D9" w:themeFill="background1" w:themeFillShade="D9"/>
          </w:tcPr>
          <w:p w14:paraId="74C58FC2" w14:textId="39DAEAE5" w:rsidR="007E5BAF" w:rsidRDefault="003117F8" w:rsidP="00C71791">
            <w:pPr>
              <w:rPr>
                <w:i/>
                <w:iCs/>
              </w:rPr>
            </w:pPr>
            <w:r>
              <w:rPr>
                <w:b/>
                <w:bCs/>
                <w:lang w:val="en-GB"/>
              </w:rPr>
              <w:t xml:space="preserve">Outcome </w:t>
            </w:r>
            <w:r w:rsidR="007E5BAF" w:rsidRPr="005E3AB5">
              <w:rPr>
                <w:b/>
                <w:bCs/>
                <w:lang w:val="en-GB"/>
              </w:rPr>
              <w:t>2:</w:t>
            </w:r>
            <w:r w:rsidR="007E5BAF" w:rsidRPr="005E3AB5">
              <w:rPr>
                <w:b/>
                <w:bCs/>
                <w:lang w:val="en-CA"/>
              </w:rPr>
              <w:t xml:space="preserve"> </w:t>
            </w:r>
            <w:r w:rsidR="003655AF" w:rsidRPr="003655AF">
              <w:rPr>
                <w:lang w:val="en-CA"/>
              </w:rPr>
              <w:t>Interg</w:t>
            </w:r>
            <w:r w:rsidR="003655AF">
              <w:rPr>
                <w:lang w:val="en-CA"/>
              </w:rPr>
              <w:t>r</w:t>
            </w:r>
            <w:r w:rsidR="003655AF" w:rsidRPr="003655AF">
              <w:rPr>
                <w:lang w:val="en-CA"/>
              </w:rPr>
              <w:t>ated</w:t>
            </w:r>
            <w:r w:rsidR="003655AF">
              <w:rPr>
                <w:b/>
                <w:bCs/>
                <w:lang w:val="en-CA"/>
              </w:rPr>
              <w:t xml:space="preserve"> </w:t>
            </w:r>
            <w:r w:rsidR="003655AF">
              <w:rPr>
                <w:lang w:val="en-CA"/>
              </w:rPr>
              <w:t xml:space="preserve">GBV </w:t>
            </w:r>
            <w:r w:rsidR="003655AF">
              <w:rPr>
                <w:lang w:val="en-GB"/>
              </w:rPr>
              <w:t xml:space="preserve">data collection coordinated across all stakeholders to support evidence based GBV policies, programming and </w:t>
            </w:r>
            <w:r w:rsidR="007E5BAF" w:rsidRPr="005E3AB5">
              <w:rPr>
                <w:lang w:val="en-GB"/>
              </w:rPr>
              <w:t>monitoring of GBV work</w:t>
            </w:r>
            <w:r w:rsidR="003655AF">
              <w:rPr>
                <w:lang w:val="en-GB"/>
              </w:rPr>
              <w:t xml:space="preserve">. </w:t>
            </w:r>
          </w:p>
        </w:tc>
      </w:tr>
    </w:tbl>
    <w:p w14:paraId="3CB13185" w14:textId="26EB73E6" w:rsidR="007E5BAF" w:rsidRDefault="007E5BAF" w:rsidP="004E49C6">
      <w:pPr>
        <w:spacing w:after="0"/>
      </w:pPr>
    </w:p>
    <w:tbl>
      <w:tblPr>
        <w:tblStyle w:val="TableGrid"/>
        <w:tblW w:w="0" w:type="auto"/>
        <w:tblLook w:val="04A0" w:firstRow="1" w:lastRow="0" w:firstColumn="1" w:lastColumn="0" w:noHBand="0" w:noVBand="1"/>
      </w:tblPr>
      <w:tblGrid>
        <w:gridCol w:w="9016"/>
      </w:tblGrid>
      <w:tr w:rsidR="007E5BAF" w14:paraId="1C9F6815" w14:textId="77777777" w:rsidTr="00A07B92">
        <w:tc>
          <w:tcPr>
            <w:tcW w:w="9016" w:type="dxa"/>
            <w:shd w:val="clear" w:color="auto" w:fill="D9D9D9" w:themeFill="background1" w:themeFillShade="D9"/>
          </w:tcPr>
          <w:p w14:paraId="31336B12" w14:textId="581BBCE9" w:rsidR="007E5BAF" w:rsidRDefault="003117F8" w:rsidP="00C71791">
            <w:pPr>
              <w:rPr>
                <w:i/>
                <w:iCs/>
              </w:rPr>
            </w:pPr>
            <w:r>
              <w:rPr>
                <w:b/>
                <w:bCs/>
                <w:lang w:val="en-GB"/>
              </w:rPr>
              <w:t>Outcome</w:t>
            </w:r>
            <w:r w:rsidR="007E5BAF" w:rsidRPr="005E3AB5">
              <w:rPr>
                <w:b/>
                <w:bCs/>
                <w:lang w:val="en-GB"/>
              </w:rPr>
              <w:t xml:space="preserve"> 3:  </w:t>
            </w:r>
            <w:r w:rsidR="003655AF">
              <w:rPr>
                <w:lang w:val="en-GB"/>
              </w:rPr>
              <w:t>GBV s</w:t>
            </w:r>
            <w:r w:rsidR="007E5BAF" w:rsidRPr="005E3AB5">
              <w:rPr>
                <w:lang w:val="en-GB"/>
              </w:rPr>
              <w:t xml:space="preserve">urvivors </w:t>
            </w:r>
            <w:r w:rsidR="003655AF">
              <w:rPr>
                <w:lang w:val="en-GB"/>
              </w:rPr>
              <w:t xml:space="preserve">accessing </w:t>
            </w:r>
            <w:r w:rsidR="007E5BAF" w:rsidRPr="005E3AB5">
              <w:rPr>
                <w:lang w:val="en-GB"/>
              </w:rPr>
              <w:t xml:space="preserve">quality </w:t>
            </w:r>
            <w:r w:rsidR="003655AF">
              <w:rPr>
                <w:lang w:val="en-GB"/>
              </w:rPr>
              <w:t xml:space="preserve">crisis response services, including in relation to counselling, safe houses, health services, policing and justice from the courts. </w:t>
            </w:r>
          </w:p>
        </w:tc>
      </w:tr>
    </w:tbl>
    <w:p w14:paraId="31CA1925" w14:textId="7F64C925" w:rsidR="007E5BAF" w:rsidRDefault="007E5BAF" w:rsidP="004E49C6">
      <w:pPr>
        <w:spacing w:after="0"/>
      </w:pPr>
    </w:p>
    <w:tbl>
      <w:tblPr>
        <w:tblStyle w:val="TableGrid"/>
        <w:tblW w:w="0" w:type="auto"/>
        <w:tblLook w:val="04A0" w:firstRow="1" w:lastRow="0" w:firstColumn="1" w:lastColumn="0" w:noHBand="0" w:noVBand="1"/>
      </w:tblPr>
      <w:tblGrid>
        <w:gridCol w:w="9016"/>
      </w:tblGrid>
      <w:tr w:rsidR="007E5BAF" w14:paraId="7B016D8B" w14:textId="77777777" w:rsidTr="00A07B92">
        <w:tc>
          <w:tcPr>
            <w:tcW w:w="9016" w:type="dxa"/>
            <w:shd w:val="clear" w:color="auto" w:fill="D9D9D9" w:themeFill="background1" w:themeFillShade="D9"/>
          </w:tcPr>
          <w:p w14:paraId="1738D99F" w14:textId="31FA4C28" w:rsidR="007E5BAF" w:rsidRDefault="003117F8" w:rsidP="00C71791">
            <w:pPr>
              <w:rPr>
                <w:i/>
                <w:iCs/>
              </w:rPr>
            </w:pPr>
            <w:r>
              <w:rPr>
                <w:b/>
                <w:bCs/>
                <w:lang w:val="en-GB"/>
              </w:rPr>
              <w:t>Outcome</w:t>
            </w:r>
            <w:r w:rsidR="007E5BAF" w:rsidRPr="005E3AB5">
              <w:rPr>
                <w:b/>
                <w:bCs/>
                <w:lang w:val="en-GB"/>
              </w:rPr>
              <w:t xml:space="preserve"> 4:  </w:t>
            </w:r>
            <w:r w:rsidR="009B2D58">
              <w:rPr>
                <w:lang w:val="en-GB"/>
              </w:rPr>
              <w:t xml:space="preserve">GBV </w:t>
            </w:r>
            <w:r w:rsidR="007E5BAF" w:rsidRPr="005E3AB5">
              <w:rPr>
                <w:lang w:val="en-GB"/>
              </w:rPr>
              <w:t xml:space="preserve">prevention </w:t>
            </w:r>
            <w:r w:rsidR="009B2D58">
              <w:rPr>
                <w:lang w:val="en-GB"/>
              </w:rPr>
              <w:t xml:space="preserve">activities effectively rolled out across the </w:t>
            </w:r>
            <w:r w:rsidR="007E5BAF" w:rsidRPr="005E3AB5">
              <w:rPr>
                <w:lang w:val="en-GB"/>
              </w:rPr>
              <w:t>province</w:t>
            </w:r>
            <w:r w:rsidR="009B2D58">
              <w:rPr>
                <w:lang w:val="en-GB"/>
              </w:rPr>
              <w:t xml:space="preserve">, including through </w:t>
            </w:r>
            <w:r w:rsidR="007E5BAF" w:rsidRPr="005E3AB5">
              <w:rPr>
                <w:lang w:val="en-GB"/>
              </w:rPr>
              <w:t xml:space="preserve">formulation of targeted messages and implementing </w:t>
            </w:r>
            <w:r w:rsidR="009B2D58">
              <w:rPr>
                <w:lang w:val="en-GB"/>
              </w:rPr>
              <w:t xml:space="preserve">coordinate </w:t>
            </w:r>
            <w:r w:rsidR="007E5BAF" w:rsidRPr="005E3AB5">
              <w:rPr>
                <w:lang w:val="en-GB"/>
              </w:rPr>
              <w:t xml:space="preserve">awareness </w:t>
            </w:r>
            <w:r w:rsidR="009B2D58">
              <w:rPr>
                <w:lang w:val="en-GB"/>
              </w:rPr>
              <w:t xml:space="preserve">and education </w:t>
            </w:r>
            <w:r w:rsidR="007E5BAF" w:rsidRPr="005E3AB5">
              <w:rPr>
                <w:lang w:val="en-GB"/>
              </w:rPr>
              <w:t>programmes</w:t>
            </w:r>
            <w:r w:rsidR="009B2D58">
              <w:rPr>
                <w:lang w:val="en-GB"/>
              </w:rPr>
              <w:t xml:space="preserve">. </w:t>
            </w:r>
          </w:p>
        </w:tc>
      </w:tr>
    </w:tbl>
    <w:p w14:paraId="34650986" w14:textId="77777777" w:rsidR="00704F8F" w:rsidRDefault="00704F8F" w:rsidP="007C2EA9">
      <w:pPr>
        <w:spacing w:after="0"/>
      </w:pPr>
    </w:p>
    <w:p w14:paraId="0A6A43ED" w14:textId="52ADF0FD" w:rsidR="007C2EA9" w:rsidRDefault="007C2EA9" w:rsidP="007C2EA9">
      <w:pPr>
        <w:jc w:val="both"/>
        <w:rPr>
          <w:i/>
          <w:iCs/>
        </w:rPr>
      </w:pPr>
      <w:r>
        <w:rPr>
          <w:i/>
          <w:iCs/>
        </w:rPr>
        <w:t xml:space="preserve">Under each </w:t>
      </w:r>
      <w:r w:rsidR="004E49C6">
        <w:rPr>
          <w:i/>
          <w:iCs/>
        </w:rPr>
        <w:t>Outcome</w:t>
      </w:r>
      <w:r>
        <w:rPr>
          <w:i/>
          <w:iCs/>
        </w:rPr>
        <w:t>, you will need to identify your own outputs</w:t>
      </w:r>
      <w:r w:rsidR="003E1455">
        <w:rPr>
          <w:i/>
          <w:iCs/>
        </w:rPr>
        <w:t xml:space="preserve">, which should represent they key pieces of work you will be implementing to achieve the Outcome. Developing the outputs that will combine to achieve the outcomes </w:t>
      </w:r>
      <w:r>
        <w:rPr>
          <w:i/>
          <w:iCs/>
        </w:rPr>
        <w:t xml:space="preserve">does not need to be </w:t>
      </w:r>
      <w:r w:rsidR="003E1455">
        <w:rPr>
          <w:i/>
          <w:iCs/>
        </w:rPr>
        <w:t xml:space="preserve">a </w:t>
      </w:r>
      <w:r>
        <w:rPr>
          <w:i/>
          <w:iCs/>
        </w:rPr>
        <w:t>complicated</w:t>
      </w:r>
      <w:r w:rsidR="003E1455">
        <w:rPr>
          <w:i/>
          <w:iCs/>
        </w:rPr>
        <w:t xml:space="preserve"> process</w:t>
      </w:r>
      <w:r>
        <w:rPr>
          <w:i/>
          <w:iCs/>
        </w:rPr>
        <w:t xml:space="preserve">. In Morobe, they </w:t>
      </w:r>
      <w:r w:rsidR="003E1455">
        <w:rPr>
          <w:i/>
          <w:iCs/>
        </w:rPr>
        <w:t xml:space="preserve">produced </w:t>
      </w:r>
      <w:r>
        <w:rPr>
          <w:i/>
          <w:iCs/>
        </w:rPr>
        <w:t xml:space="preserve">a list of bulleted outputs </w:t>
      </w:r>
      <w:r w:rsidR="003E1455">
        <w:rPr>
          <w:i/>
          <w:iCs/>
        </w:rPr>
        <w:t xml:space="preserve">per outcome </w:t>
      </w:r>
      <w:r>
        <w:rPr>
          <w:i/>
          <w:iCs/>
        </w:rPr>
        <w:t xml:space="preserve">(see Annex 1 for their </w:t>
      </w:r>
      <w:r w:rsidR="003E1455">
        <w:rPr>
          <w:i/>
          <w:iCs/>
        </w:rPr>
        <w:t xml:space="preserve">full </w:t>
      </w:r>
      <w:r>
        <w:rPr>
          <w:i/>
          <w:iCs/>
        </w:rPr>
        <w:t>summary</w:t>
      </w:r>
      <w:r w:rsidR="003E1455">
        <w:rPr>
          <w:i/>
          <w:iCs/>
        </w:rPr>
        <w:t xml:space="preserve"> of outputs</w:t>
      </w:r>
      <w:r>
        <w:rPr>
          <w:i/>
          <w:iCs/>
        </w:rPr>
        <w:t xml:space="preserve">). Each year, they then produced a budgeted activity plan, that listed the activities that would be implemented to progress each output. </w:t>
      </w:r>
    </w:p>
    <w:tbl>
      <w:tblPr>
        <w:tblStyle w:val="TableGrid"/>
        <w:tblW w:w="0" w:type="auto"/>
        <w:shd w:val="clear" w:color="auto" w:fill="D9E2F3" w:themeFill="accent1" w:themeFillTint="33"/>
        <w:tblLook w:val="04A0" w:firstRow="1" w:lastRow="0" w:firstColumn="1" w:lastColumn="0" w:noHBand="0" w:noVBand="1"/>
      </w:tblPr>
      <w:tblGrid>
        <w:gridCol w:w="9016"/>
      </w:tblGrid>
      <w:tr w:rsidR="00B817AE" w14:paraId="5F9BD18F" w14:textId="77777777" w:rsidTr="001948A4">
        <w:tc>
          <w:tcPr>
            <w:tcW w:w="9016" w:type="dxa"/>
            <w:shd w:val="clear" w:color="auto" w:fill="D9E2F3" w:themeFill="accent1" w:themeFillTint="33"/>
          </w:tcPr>
          <w:p w14:paraId="21C41DC2" w14:textId="77777777" w:rsidR="00190A12" w:rsidRDefault="001948A4" w:rsidP="00190A12">
            <w:pPr>
              <w:spacing w:before="120" w:after="120"/>
              <w:jc w:val="center"/>
              <w:rPr>
                <w:b/>
                <w:bCs/>
                <w:i/>
                <w:iCs/>
              </w:rPr>
            </w:pPr>
            <w:r>
              <w:rPr>
                <w:b/>
                <w:bCs/>
                <w:i/>
                <w:iCs/>
              </w:rPr>
              <w:t>EXAMPLE</w:t>
            </w:r>
            <w:r w:rsidR="00190A12">
              <w:rPr>
                <w:b/>
                <w:bCs/>
                <w:i/>
                <w:iCs/>
              </w:rPr>
              <w:t xml:space="preserve">: </w:t>
            </w:r>
            <w:r w:rsidR="00B817AE" w:rsidRPr="00B14F08">
              <w:rPr>
                <w:b/>
                <w:bCs/>
                <w:i/>
                <w:iCs/>
              </w:rPr>
              <w:t>Morobe</w:t>
            </w:r>
            <w:r w:rsidR="00B817AE">
              <w:rPr>
                <w:b/>
                <w:bCs/>
                <w:i/>
                <w:iCs/>
              </w:rPr>
              <w:t xml:space="preserve"> GBV Strategy (2015-17)</w:t>
            </w:r>
          </w:p>
          <w:p w14:paraId="48BC940D" w14:textId="7BB6661A" w:rsidR="00B817AE" w:rsidRPr="00B14F08" w:rsidRDefault="00B817AE" w:rsidP="00225986">
            <w:pPr>
              <w:spacing w:before="120" w:after="60"/>
              <w:rPr>
                <w:b/>
                <w:bCs/>
                <w:i/>
                <w:iCs/>
              </w:rPr>
            </w:pPr>
            <w:r w:rsidRPr="00B14F08">
              <w:rPr>
                <w:b/>
                <w:bCs/>
                <w:i/>
                <w:iCs/>
              </w:rPr>
              <w:t>Outcome 2 - Greater prevention activities and community awareness for FSV</w:t>
            </w:r>
          </w:p>
          <w:p w14:paraId="05888AA5"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sz w:val="22"/>
                <w:szCs w:val="22"/>
              </w:rPr>
              <w:t xml:space="preserve">Strategies developed in support of this outcome are as follows:- </w:t>
            </w:r>
          </w:p>
          <w:p w14:paraId="623BA033"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2.1. </w:t>
            </w:r>
            <w:r w:rsidRPr="00B14F08">
              <w:rPr>
                <w:rFonts w:asciiTheme="minorHAnsi" w:hAnsiTheme="minorHAnsi" w:cstheme="minorHAnsi"/>
                <w:sz w:val="22"/>
                <w:szCs w:val="22"/>
              </w:rPr>
              <w:t xml:space="preserve">Work with education to include FBV prevention in schools </w:t>
            </w:r>
          </w:p>
          <w:p w14:paraId="247DB093"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2.2. </w:t>
            </w:r>
            <w:r w:rsidRPr="00B14F08">
              <w:rPr>
                <w:rFonts w:asciiTheme="minorHAnsi" w:hAnsiTheme="minorHAnsi" w:cstheme="minorHAnsi"/>
                <w:sz w:val="22"/>
                <w:szCs w:val="22"/>
              </w:rPr>
              <w:t xml:space="preserve">Develop and distribute FSV Publicity materials (standardized) in Lae </w:t>
            </w:r>
          </w:p>
          <w:p w14:paraId="04EBCE66"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2.3. </w:t>
            </w:r>
            <w:r w:rsidRPr="00B14F08">
              <w:rPr>
                <w:rFonts w:asciiTheme="minorHAnsi" w:hAnsiTheme="minorHAnsi" w:cstheme="minorHAnsi"/>
                <w:sz w:val="22"/>
                <w:szCs w:val="22"/>
              </w:rPr>
              <w:t xml:space="preserve">Use local media to send FSV prevention/ awareness messages </w:t>
            </w:r>
          </w:p>
          <w:p w14:paraId="6559CE1C"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2.4. </w:t>
            </w:r>
            <w:r w:rsidRPr="00B14F08">
              <w:rPr>
                <w:rFonts w:asciiTheme="minorHAnsi" w:hAnsiTheme="minorHAnsi" w:cstheme="minorHAnsi"/>
                <w:sz w:val="22"/>
                <w:szCs w:val="22"/>
              </w:rPr>
              <w:t xml:space="preserve">Promote male advocacy and church/community based FSV programs in Morobe </w:t>
            </w:r>
          </w:p>
          <w:p w14:paraId="4144E4B5"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2.5. </w:t>
            </w:r>
            <w:r w:rsidRPr="00B14F08">
              <w:rPr>
                <w:rFonts w:asciiTheme="minorHAnsi" w:hAnsiTheme="minorHAnsi" w:cstheme="minorHAnsi"/>
                <w:sz w:val="22"/>
                <w:szCs w:val="22"/>
              </w:rPr>
              <w:t xml:space="preserve">Increase media awareness </w:t>
            </w:r>
          </w:p>
          <w:p w14:paraId="0B06DA1C" w14:textId="77777777" w:rsidR="00B817AE" w:rsidRPr="00B14F08" w:rsidRDefault="00B817AE" w:rsidP="00B817AE">
            <w:pPr>
              <w:pStyle w:val="Default"/>
              <w:spacing w:before="60" w:after="60"/>
              <w:jc w:val="both"/>
              <w:rPr>
                <w:rFonts w:asciiTheme="minorHAnsi" w:hAnsiTheme="minorHAnsi" w:cstheme="minorHAnsi"/>
                <w:sz w:val="22"/>
                <w:szCs w:val="22"/>
              </w:rPr>
            </w:pPr>
            <w:r w:rsidRPr="00B14F08">
              <w:rPr>
                <w:rFonts w:asciiTheme="minorHAnsi" w:hAnsiTheme="minorHAnsi" w:cstheme="minorHAnsi"/>
                <w:b/>
                <w:bCs/>
                <w:sz w:val="22"/>
                <w:szCs w:val="22"/>
              </w:rPr>
              <w:t xml:space="preserve">2.6. </w:t>
            </w:r>
            <w:r w:rsidRPr="00B14F08">
              <w:rPr>
                <w:rFonts w:asciiTheme="minorHAnsi" w:hAnsiTheme="minorHAnsi" w:cstheme="minorHAnsi"/>
                <w:sz w:val="22"/>
                <w:szCs w:val="22"/>
              </w:rPr>
              <w:t xml:space="preserve">Conduct 3 rural area outreach patrols annually </w:t>
            </w:r>
          </w:p>
          <w:p w14:paraId="75808C85" w14:textId="504C44F5" w:rsidR="00B817AE" w:rsidRDefault="00B817AE" w:rsidP="00B817AE">
            <w:pPr>
              <w:jc w:val="both"/>
              <w:rPr>
                <w:i/>
                <w:iCs/>
              </w:rPr>
            </w:pPr>
            <w:r w:rsidRPr="00B14F08">
              <w:rPr>
                <w:rFonts w:cstheme="minorHAnsi"/>
                <w:b/>
                <w:bCs/>
              </w:rPr>
              <w:t xml:space="preserve">2.7. </w:t>
            </w:r>
            <w:r w:rsidRPr="00B14F08">
              <w:rPr>
                <w:rFonts w:cstheme="minorHAnsi"/>
              </w:rPr>
              <w:t>Provide Rural Health Centre Awareness to communities,</w:t>
            </w:r>
          </w:p>
        </w:tc>
      </w:tr>
    </w:tbl>
    <w:p w14:paraId="6A5A1818" w14:textId="34239E1F" w:rsidR="001948A4" w:rsidRDefault="001948A4" w:rsidP="00225986">
      <w:pPr>
        <w:spacing w:after="0"/>
        <w:jc w:val="both"/>
        <w:rPr>
          <w:i/>
          <w:iCs/>
        </w:rPr>
      </w:pPr>
    </w:p>
    <w:p w14:paraId="7E3E508E" w14:textId="5B62C20F" w:rsidR="00EF472F" w:rsidRDefault="00D64D78" w:rsidP="00D91791">
      <w:pPr>
        <w:spacing w:after="80"/>
        <w:jc w:val="both"/>
        <w:rPr>
          <w:i/>
          <w:iCs/>
        </w:rPr>
      </w:pPr>
      <w:r>
        <w:rPr>
          <w:i/>
          <w:iCs/>
        </w:rPr>
        <w:t xml:space="preserve">Developing the list of activities per output is a bigger process, which requires some detail. As such, most strategies included them in an annexed Activity Plan. </w:t>
      </w:r>
      <w:r w:rsidR="00EF472F">
        <w:rPr>
          <w:i/>
          <w:iCs/>
        </w:rPr>
        <w:t xml:space="preserve">You may want to develop: </w:t>
      </w:r>
    </w:p>
    <w:p w14:paraId="742037A7" w14:textId="77777777" w:rsidR="00EF472F" w:rsidRDefault="00EF472F" w:rsidP="00EF472F">
      <w:pPr>
        <w:pStyle w:val="ListParagraph"/>
        <w:numPr>
          <w:ilvl w:val="0"/>
          <w:numId w:val="9"/>
        </w:numPr>
        <w:spacing w:after="80"/>
        <w:contextualSpacing w:val="0"/>
        <w:jc w:val="both"/>
        <w:rPr>
          <w:i/>
          <w:iCs/>
        </w:rPr>
      </w:pPr>
      <w:r>
        <w:rPr>
          <w:i/>
          <w:iCs/>
        </w:rPr>
        <w:t xml:space="preserve">A </w:t>
      </w:r>
      <w:r w:rsidR="00D64D78" w:rsidRPr="00EF472F">
        <w:rPr>
          <w:i/>
          <w:iCs/>
        </w:rPr>
        <w:t>multi-year workplan, which sets out the activities anticipated to be implemented in each year of the strategy</w:t>
      </w:r>
      <w:r w:rsidR="002F7AE7" w:rsidRPr="00EF472F">
        <w:rPr>
          <w:i/>
          <w:iCs/>
        </w:rPr>
        <w:t xml:space="preserve"> (see Annex 2 for an example</w:t>
      </w:r>
      <w:r w:rsidR="003955F1" w:rsidRPr="00EF472F">
        <w:rPr>
          <w:i/>
          <w:iCs/>
        </w:rPr>
        <w:t xml:space="preserve"> from Jiwaka</w:t>
      </w:r>
      <w:r w:rsidR="002F7AE7" w:rsidRPr="00EF472F">
        <w:rPr>
          <w:i/>
          <w:iCs/>
        </w:rPr>
        <w:t>)</w:t>
      </w:r>
      <w:r w:rsidR="00D64D78" w:rsidRPr="00EF472F">
        <w:rPr>
          <w:i/>
          <w:iCs/>
        </w:rPr>
        <w:t xml:space="preserve"> OR </w:t>
      </w:r>
    </w:p>
    <w:p w14:paraId="5575CC73" w14:textId="19787467" w:rsidR="00D64D78" w:rsidRPr="00EF472F" w:rsidRDefault="00EF472F" w:rsidP="00EF472F">
      <w:pPr>
        <w:pStyle w:val="ListParagraph"/>
        <w:numPr>
          <w:ilvl w:val="0"/>
          <w:numId w:val="9"/>
        </w:numPr>
        <w:spacing w:after="200"/>
        <w:jc w:val="both"/>
        <w:rPr>
          <w:i/>
          <w:iCs/>
        </w:rPr>
      </w:pPr>
      <w:r>
        <w:rPr>
          <w:i/>
          <w:iCs/>
        </w:rPr>
        <w:t>A</w:t>
      </w:r>
      <w:r w:rsidR="00D64D78" w:rsidRPr="00EF472F">
        <w:rPr>
          <w:i/>
          <w:iCs/>
        </w:rPr>
        <w:t xml:space="preserve">n annual </w:t>
      </w:r>
      <w:r w:rsidR="00CB0E50" w:rsidRPr="00EF472F">
        <w:rPr>
          <w:i/>
          <w:iCs/>
        </w:rPr>
        <w:t xml:space="preserve">workplan </w:t>
      </w:r>
      <w:r w:rsidR="002F7AE7" w:rsidRPr="00EF472F">
        <w:rPr>
          <w:i/>
          <w:iCs/>
        </w:rPr>
        <w:t xml:space="preserve">which is produced each year and submitted as part of the annual budget process (see Annex 3 for an example). </w:t>
      </w:r>
    </w:p>
    <w:p w14:paraId="35AB3630" w14:textId="775051D7" w:rsidR="00524366" w:rsidRDefault="00337154" w:rsidP="00464400">
      <w:pPr>
        <w:pStyle w:val="Heading1"/>
      </w:pPr>
      <w:r>
        <w:t>Coordination</w:t>
      </w:r>
      <w:r w:rsidR="00500420">
        <w:t xml:space="preserve">, </w:t>
      </w:r>
      <w:r>
        <w:t>i</w:t>
      </w:r>
      <w:r w:rsidR="00E02B69">
        <w:t>mplementa</w:t>
      </w:r>
      <w:r w:rsidR="00B3772C">
        <w:t>t</w:t>
      </w:r>
      <w:r w:rsidR="00E02B69">
        <w:t xml:space="preserve">ion </w:t>
      </w:r>
      <w:r w:rsidR="00500420">
        <w:t xml:space="preserve">and monitoring </w:t>
      </w:r>
      <w:r w:rsidR="00E02B69">
        <w:t xml:space="preserve">structures </w:t>
      </w:r>
    </w:p>
    <w:p w14:paraId="101BA9FB" w14:textId="2CF3270E" w:rsidR="00240517" w:rsidRDefault="00337154" w:rsidP="00240517">
      <w:pPr>
        <w:jc w:val="both"/>
        <w:rPr>
          <w:i/>
          <w:iCs/>
        </w:rPr>
      </w:pPr>
      <w:r>
        <w:rPr>
          <w:i/>
          <w:iCs/>
        </w:rPr>
        <w:t xml:space="preserve">It is important that the provincial GBV strategy is anchored to a meaningful implementation structure. </w:t>
      </w:r>
      <w:r w:rsidR="00240517" w:rsidRPr="00240517">
        <w:rPr>
          <w:i/>
          <w:iCs/>
        </w:rPr>
        <w:t>In 2013, the national</w:t>
      </w:r>
      <w:r w:rsidR="00240517">
        <w:rPr>
          <w:i/>
          <w:iCs/>
        </w:rPr>
        <w:t xml:space="preserve"> </w:t>
      </w:r>
      <w:r w:rsidR="00240517">
        <w:rPr>
          <w:i/>
          <w:iCs/>
        </w:rPr>
        <w:t>Family and Sexual Violence Action Committees</w:t>
      </w:r>
      <w:r w:rsidR="00240517" w:rsidRPr="00240517">
        <w:rPr>
          <w:i/>
          <w:iCs/>
        </w:rPr>
        <w:t xml:space="preserve"> </w:t>
      </w:r>
      <w:r w:rsidR="00240517">
        <w:rPr>
          <w:i/>
          <w:iCs/>
        </w:rPr>
        <w:t>(</w:t>
      </w:r>
      <w:r w:rsidR="00240517" w:rsidRPr="00240517">
        <w:rPr>
          <w:i/>
          <w:iCs/>
        </w:rPr>
        <w:t>FSVAC</w:t>
      </w:r>
      <w:r w:rsidR="00240517">
        <w:rPr>
          <w:i/>
          <w:iCs/>
        </w:rPr>
        <w:t xml:space="preserve">) </w:t>
      </w:r>
      <w:r w:rsidR="00240517" w:rsidRPr="00240517">
        <w:rPr>
          <w:i/>
          <w:iCs/>
        </w:rPr>
        <w:t>secured a National Executive Council (NEC) directive to all provinces</w:t>
      </w:r>
      <w:r w:rsidR="00240517">
        <w:rPr>
          <w:i/>
          <w:iCs/>
        </w:rPr>
        <w:t xml:space="preserve"> </w:t>
      </w:r>
      <w:r w:rsidR="00240517" w:rsidRPr="00240517">
        <w:rPr>
          <w:i/>
          <w:iCs/>
        </w:rPr>
        <w:t>to provide adequate budgets and human and technical resources for Provincial GBV coordinating</w:t>
      </w:r>
      <w:r w:rsidR="00240517">
        <w:rPr>
          <w:i/>
          <w:iCs/>
        </w:rPr>
        <w:t xml:space="preserve"> </w:t>
      </w:r>
      <w:r w:rsidR="00240517" w:rsidRPr="00240517">
        <w:rPr>
          <w:i/>
          <w:iCs/>
        </w:rPr>
        <w:t xml:space="preserve">Committees to coordinate the collaboration and </w:t>
      </w:r>
      <w:r w:rsidR="00240517" w:rsidRPr="00240517">
        <w:rPr>
          <w:i/>
          <w:iCs/>
        </w:rPr>
        <w:lastRenderedPageBreak/>
        <w:t xml:space="preserve">cooperation of government, NGOs and </w:t>
      </w:r>
      <w:r w:rsidR="00240517">
        <w:rPr>
          <w:i/>
          <w:iCs/>
        </w:rPr>
        <w:t>f</w:t>
      </w:r>
      <w:r w:rsidR="00240517" w:rsidRPr="00240517">
        <w:rPr>
          <w:i/>
          <w:iCs/>
        </w:rPr>
        <w:t>aith-</w:t>
      </w:r>
      <w:r w:rsidR="00240517">
        <w:rPr>
          <w:i/>
          <w:iCs/>
        </w:rPr>
        <w:t>b</w:t>
      </w:r>
      <w:r w:rsidR="00240517" w:rsidRPr="00240517">
        <w:rPr>
          <w:i/>
          <w:iCs/>
        </w:rPr>
        <w:t xml:space="preserve">ased </w:t>
      </w:r>
      <w:r w:rsidR="00240517">
        <w:rPr>
          <w:i/>
          <w:iCs/>
        </w:rPr>
        <w:t>o</w:t>
      </w:r>
      <w:r w:rsidR="00240517" w:rsidRPr="00240517">
        <w:rPr>
          <w:i/>
          <w:iCs/>
        </w:rPr>
        <w:t>rganisations to provide effective prevention and</w:t>
      </w:r>
      <w:r w:rsidR="00240517">
        <w:rPr>
          <w:i/>
          <w:iCs/>
        </w:rPr>
        <w:t xml:space="preserve"> </w:t>
      </w:r>
      <w:r w:rsidR="00240517" w:rsidRPr="00240517">
        <w:rPr>
          <w:i/>
          <w:iCs/>
        </w:rPr>
        <w:t>responses to violence against women and girls in their province. To date</w:t>
      </w:r>
      <w:r w:rsidR="00240517">
        <w:rPr>
          <w:i/>
          <w:iCs/>
        </w:rPr>
        <w:t>,</w:t>
      </w:r>
      <w:r w:rsidR="00240517" w:rsidRPr="00240517">
        <w:rPr>
          <w:i/>
          <w:iCs/>
        </w:rPr>
        <w:t xml:space="preserve"> this directive has only been</w:t>
      </w:r>
      <w:r w:rsidR="00240517">
        <w:rPr>
          <w:i/>
          <w:iCs/>
        </w:rPr>
        <w:t xml:space="preserve"> </w:t>
      </w:r>
      <w:r w:rsidR="00240517" w:rsidRPr="00240517">
        <w:rPr>
          <w:i/>
          <w:iCs/>
        </w:rPr>
        <w:t xml:space="preserve">operationalised in </w:t>
      </w:r>
      <w:r w:rsidR="00240517">
        <w:rPr>
          <w:i/>
          <w:iCs/>
        </w:rPr>
        <w:t>a handful of provinces</w:t>
      </w:r>
      <w:r w:rsidR="00240517" w:rsidRPr="00240517">
        <w:rPr>
          <w:i/>
          <w:iCs/>
        </w:rPr>
        <w:t>.</w:t>
      </w:r>
    </w:p>
    <w:p w14:paraId="4FD3EA6D" w14:textId="385E019D" w:rsidR="00337154" w:rsidRDefault="00337154" w:rsidP="007C2EA9">
      <w:pPr>
        <w:jc w:val="both"/>
        <w:rPr>
          <w:i/>
          <w:iCs/>
        </w:rPr>
      </w:pPr>
      <w:r>
        <w:rPr>
          <w:i/>
          <w:iCs/>
        </w:rPr>
        <w:t xml:space="preserve">The National GBV Strategy envisaged that each province would establish some form of provincial GBV secretariats (PBGVS), </w:t>
      </w:r>
      <w:r>
        <w:rPr>
          <w:i/>
          <w:iCs/>
        </w:rPr>
        <w:t xml:space="preserve">whose job it </w:t>
      </w:r>
      <w:r>
        <w:rPr>
          <w:i/>
          <w:iCs/>
        </w:rPr>
        <w:t xml:space="preserve">would be </w:t>
      </w:r>
      <w:r>
        <w:rPr>
          <w:i/>
          <w:iCs/>
        </w:rPr>
        <w:t>to coordinate GBV activities across the province</w:t>
      </w:r>
      <w:r>
        <w:rPr>
          <w:i/>
          <w:iCs/>
        </w:rPr>
        <w:t>. The PGBVS was NOT intended to implement all GBV activities. Rather, PGBVS</w:t>
      </w:r>
      <w:r w:rsidR="00907B3E">
        <w:rPr>
          <w:i/>
          <w:iCs/>
        </w:rPr>
        <w:t>s</w:t>
      </w:r>
      <w:r>
        <w:rPr>
          <w:i/>
          <w:iCs/>
        </w:rPr>
        <w:t xml:space="preserve"> were to operate as </w:t>
      </w:r>
      <w:r w:rsidR="00907B3E">
        <w:rPr>
          <w:i/>
          <w:iCs/>
        </w:rPr>
        <w:t xml:space="preserve">government-funded GBV </w:t>
      </w:r>
      <w:r>
        <w:rPr>
          <w:i/>
          <w:iCs/>
        </w:rPr>
        <w:t xml:space="preserve">focal points who could </w:t>
      </w:r>
      <w:r w:rsidR="00FB661E">
        <w:rPr>
          <w:i/>
          <w:iCs/>
        </w:rPr>
        <w:t xml:space="preserve">operate </w:t>
      </w:r>
      <w:r>
        <w:rPr>
          <w:i/>
          <w:iCs/>
        </w:rPr>
        <w:t xml:space="preserve">within provincial government structures </w:t>
      </w:r>
      <w:r w:rsidR="00FB661E">
        <w:rPr>
          <w:i/>
          <w:iCs/>
        </w:rPr>
        <w:t xml:space="preserve">to advocate </w:t>
      </w:r>
      <w:r>
        <w:rPr>
          <w:i/>
          <w:iCs/>
        </w:rPr>
        <w:t xml:space="preserve">and </w:t>
      </w:r>
      <w:r w:rsidR="00FB661E">
        <w:rPr>
          <w:i/>
          <w:iCs/>
        </w:rPr>
        <w:t xml:space="preserve">raise funding to </w:t>
      </w:r>
      <w:r>
        <w:rPr>
          <w:i/>
          <w:iCs/>
        </w:rPr>
        <w:t xml:space="preserve">support the work of other GBV stakeholders. </w:t>
      </w:r>
    </w:p>
    <w:p w14:paraId="6C5F7CFF" w14:textId="77777777" w:rsidR="0063512B" w:rsidRDefault="00337154" w:rsidP="007C2EA9">
      <w:pPr>
        <w:jc w:val="both"/>
        <w:rPr>
          <w:i/>
          <w:iCs/>
        </w:rPr>
      </w:pPr>
      <w:r>
        <w:rPr>
          <w:i/>
          <w:iCs/>
        </w:rPr>
        <w:t>Across the country, provinces have a range of different GBV coordination and implementation structures. Some provinces have set up PGBVS or have appointed/nominated a GBV focal point. Where this coordination structure exists, it should be referenced in the strategy. Ideally, a</w:t>
      </w:r>
      <w:r w:rsidR="00247004">
        <w:rPr>
          <w:i/>
          <w:iCs/>
        </w:rPr>
        <w:t xml:space="preserve"> simple</w:t>
      </w:r>
      <w:r>
        <w:rPr>
          <w:i/>
          <w:iCs/>
        </w:rPr>
        <w:t xml:space="preserve"> organigram should be included which explains how the PGBVS/focal point connects back to other provincial and national government bodies. </w:t>
      </w:r>
      <w:r w:rsidR="00907B3E">
        <w:rPr>
          <w:i/>
          <w:iCs/>
        </w:rPr>
        <w:t>Experience has shown that when PGBVS staff are being recruited, their position description should require that they have specific gender equality and/or GBV expertise, to ensure they can most effectively perform their role. This could also be mentioned in the strategy.</w:t>
      </w:r>
    </w:p>
    <w:tbl>
      <w:tblPr>
        <w:tblStyle w:val="TableGrid"/>
        <w:tblW w:w="0" w:type="auto"/>
        <w:tblLook w:val="04A0" w:firstRow="1" w:lastRow="0" w:firstColumn="1" w:lastColumn="0" w:noHBand="0" w:noVBand="1"/>
      </w:tblPr>
      <w:tblGrid>
        <w:gridCol w:w="8995"/>
      </w:tblGrid>
      <w:tr w:rsidR="0063512B" w14:paraId="06DE0EB8" w14:textId="77777777" w:rsidTr="0063512B">
        <w:trPr>
          <w:trHeight w:val="8313"/>
        </w:trPr>
        <w:tc>
          <w:tcPr>
            <w:tcW w:w="8995" w:type="dxa"/>
            <w:shd w:val="clear" w:color="auto" w:fill="D9E2F3" w:themeFill="accent1" w:themeFillTint="33"/>
          </w:tcPr>
          <w:p w14:paraId="02E2A035" w14:textId="284F1D6B" w:rsidR="0063512B" w:rsidRDefault="0063512B" w:rsidP="0063512B">
            <w:pPr>
              <w:spacing w:before="120" w:after="120"/>
              <w:jc w:val="center"/>
              <w:rPr>
                <w:b/>
                <w:bCs/>
                <w:i/>
                <w:iCs/>
              </w:rPr>
            </w:pPr>
            <w:r>
              <w:rPr>
                <w:b/>
                <w:bCs/>
                <w:i/>
                <w:iCs/>
              </w:rPr>
              <w:t xml:space="preserve">EXAMPLE: </w:t>
            </w:r>
            <w:r>
              <w:rPr>
                <w:b/>
                <w:bCs/>
                <w:i/>
                <w:iCs/>
              </w:rPr>
              <w:t xml:space="preserve">West New Britain draft </w:t>
            </w:r>
            <w:r>
              <w:rPr>
                <w:b/>
                <w:bCs/>
                <w:i/>
                <w:iCs/>
              </w:rPr>
              <w:t>GBV Strategy (20</w:t>
            </w:r>
            <w:r w:rsidR="001412C9">
              <w:rPr>
                <w:b/>
                <w:bCs/>
                <w:i/>
                <w:iCs/>
              </w:rPr>
              <w:t>21</w:t>
            </w:r>
            <w:r>
              <w:rPr>
                <w:b/>
                <w:bCs/>
                <w:i/>
                <w:iCs/>
              </w:rPr>
              <w:t>-</w:t>
            </w:r>
            <w:r w:rsidR="001412C9">
              <w:rPr>
                <w:b/>
                <w:bCs/>
                <w:i/>
                <w:iCs/>
              </w:rPr>
              <w:t>25</w:t>
            </w:r>
            <w:r>
              <w:rPr>
                <w:b/>
                <w:bCs/>
                <w:i/>
                <w:iCs/>
              </w:rPr>
              <w:t>)</w:t>
            </w:r>
          </w:p>
          <w:p w14:paraId="5FD8450E" w14:textId="10E31548" w:rsidR="0063512B" w:rsidRDefault="0063512B" w:rsidP="00505CBA">
            <w:pPr>
              <w:spacing w:after="120"/>
              <w:jc w:val="center"/>
              <w:rPr>
                <w:i/>
                <w:iCs/>
              </w:rPr>
            </w:pPr>
            <w:r>
              <w:rPr>
                <w:noProof/>
              </w:rPr>
              <w:drawing>
                <wp:inline distT="0" distB="0" distL="0" distR="0" wp14:anchorId="342E4B25" wp14:editId="339F4580">
                  <wp:extent cx="4248150" cy="546130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128"/>
                          <a:stretch/>
                        </pic:blipFill>
                        <pic:spPr bwMode="auto">
                          <a:xfrm>
                            <a:off x="0" y="0"/>
                            <a:ext cx="4263475" cy="54810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7FE46D" w14:textId="2553C658" w:rsidR="00907B3E" w:rsidRDefault="00907B3E" w:rsidP="007C2EA9">
      <w:pPr>
        <w:jc w:val="both"/>
        <w:rPr>
          <w:i/>
          <w:iCs/>
        </w:rPr>
      </w:pPr>
      <w:r>
        <w:rPr>
          <w:i/>
          <w:iCs/>
        </w:rPr>
        <w:lastRenderedPageBreak/>
        <w:t>S</w:t>
      </w:r>
      <w:r w:rsidR="00337154">
        <w:rPr>
          <w:i/>
          <w:iCs/>
        </w:rPr>
        <w:t>ome provinces</w:t>
      </w:r>
      <w:r>
        <w:rPr>
          <w:i/>
          <w:iCs/>
        </w:rPr>
        <w:t xml:space="preserve"> have also established </w:t>
      </w:r>
      <w:r w:rsidR="00240517">
        <w:rPr>
          <w:i/>
          <w:iCs/>
        </w:rPr>
        <w:t xml:space="preserve">provincial-level </w:t>
      </w:r>
      <w:r w:rsidR="00337154">
        <w:rPr>
          <w:i/>
          <w:iCs/>
        </w:rPr>
        <w:t>FSVAC</w:t>
      </w:r>
      <w:r w:rsidR="00240517">
        <w:rPr>
          <w:i/>
          <w:iCs/>
        </w:rPr>
        <w:t>s</w:t>
      </w:r>
      <w:r w:rsidR="00F4042F">
        <w:rPr>
          <w:i/>
          <w:iCs/>
        </w:rPr>
        <w:t>,</w:t>
      </w:r>
      <w:r w:rsidR="00063AFA">
        <w:rPr>
          <w:rStyle w:val="FootnoteReference"/>
          <w:i/>
          <w:iCs/>
        </w:rPr>
        <w:footnoteReference w:id="1"/>
      </w:r>
      <w:r>
        <w:rPr>
          <w:i/>
          <w:iCs/>
        </w:rPr>
        <w:t xml:space="preserve"> </w:t>
      </w:r>
      <w:r w:rsidR="00F4042F">
        <w:rPr>
          <w:i/>
          <w:iCs/>
        </w:rPr>
        <w:t xml:space="preserve">which </w:t>
      </w:r>
      <w:r w:rsidR="00247004">
        <w:rPr>
          <w:i/>
          <w:iCs/>
        </w:rPr>
        <w:t xml:space="preserve">bring together GBV government and non-government stakeholders across the province to coordinate their activities </w:t>
      </w:r>
      <w:r w:rsidR="000B3E4D">
        <w:rPr>
          <w:i/>
          <w:iCs/>
        </w:rPr>
        <w:t xml:space="preserve">and </w:t>
      </w:r>
      <w:r w:rsidR="00247004">
        <w:rPr>
          <w:i/>
          <w:iCs/>
        </w:rPr>
        <w:t xml:space="preserve">support </w:t>
      </w:r>
      <w:r w:rsidR="000B3E4D">
        <w:rPr>
          <w:i/>
          <w:iCs/>
        </w:rPr>
        <w:t xml:space="preserve">GBV </w:t>
      </w:r>
      <w:r w:rsidR="00247004">
        <w:rPr>
          <w:i/>
          <w:iCs/>
        </w:rPr>
        <w:t xml:space="preserve">case management and referral pathways. </w:t>
      </w:r>
      <w:r w:rsidR="00F4042F">
        <w:rPr>
          <w:i/>
          <w:iCs/>
        </w:rPr>
        <w:t xml:space="preserve">FSVACs </w:t>
      </w:r>
      <w:r>
        <w:rPr>
          <w:i/>
          <w:iCs/>
        </w:rPr>
        <w:t xml:space="preserve">filled a critical gap in the absence of a government-funded provincial GBV focal point. </w:t>
      </w:r>
      <w:r w:rsidR="00247004">
        <w:rPr>
          <w:i/>
          <w:iCs/>
        </w:rPr>
        <w:t xml:space="preserve">Provincial FSVACs are usually supported through funding from the National FSVAC, which receives some funding from the CIMC as well as funding from donors. </w:t>
      </w:r>
      <w:r w:rsidR="000B3E4D">
        <w:rPr>
          <w:i/>
          <w:iCs/>
        </w:rPr>
        <w:t xml:space="preserve"> </w:t>
      </w:r>
    </w:p>
    <w:p w14:paraId="54FFBE07" w14:textId="734A1C25" w:rsidR="00337154" w:rsidRDefault="00247004" w:rsidP="007C2EA9">
      <w:pPr>
        <w:jc w:val="both"/>
        <w:rPr>
          <w:i/>
          <w:iCs/>
        </w:rPr>
      </w:pPr>
      <w:r>
        <w:rPr>
          <w:i/>
          <w:iCs/>
        </w:rPr>
        <w:t>Where a provincial FSVAC is in place, it is important for the strategy to clarify how the Provincial GBV Secretariat and P</w:t>
      </w:r>
      <w:r>
        <w:rPr>
          <w:i/>
          <w:iCs/>
        </w:rPr>
        <w:t>rovincial FSVAC</w:t>
      </w:r>
      <w:r>
        <w:rPr>
          <w:i/>
          <w:iCs/>
        </w:rPr>
        <w:t xml:space="preserve"> will work together. </w:t>
      </w:r>
      <w:r w:rsidR="00907B3E">
        <w:rPr>
          <w:i/>
          <w:iCs/>
        </w:rPr>
        <w:t xml:space="preserve">You may wish to annex the Terms of Reference for your Provincial GBV Secretariat and your Provincial FSVAC to the strategy. </w:t>
      </w:r>
    </w:p>
    <w:tbl>
      <w:tblPr>
        <w:tblStyle w:val="TableGrid"/>
        <w:tblW w:w="0" w:type="auto"/>
        <w:tblLook w:val="04A0" w:firstRow="1" w:lastRow="0" w:firstColumn="1" w:lastColumn="0" w:noHBand="0" w:noVBand="1"/>
      </w:tblPr>
      <w:tblGrid>
        <w:gridCol w:w="9016"/>
      </w:tblGrid>
      <w:tr w:rsidR="00417FE6" w14:paraId="7258FBE1" w14:textId="77777777" w:rsidTr="00A41F81">
        <w:tc>
          <w:tcPr>
            <w:tcW w:w="9016" w:type="dxa"/>
            <w:shd w:val="clear" w:color="auto" w:fill="D9E2F3" w:themeFill="accent1" w:themeFillTint="33"/>
          </w:tcPr>
          <w:p w14:paraId="63D05CC5" w14:textId="5ED8A2E1" w:rsidR="00417FE6" w:rsidRDefault="00417FE6" w:rsidP="00417FE6">
            <w:pPr>
              <w:spacing w:before="120" w:after="120"/>
              <w:jc w:val="center"/>
              <w:rPr>
                <w:b/>
                <w:bCs/>
                <w:i/>
                <w:iCs/>
              </w:rPr>
            </w:pPr>
            <w:r>
              <w:rPr>
                <w:b/>
                <w:bCs/>
                <w:i/>
                <w:iCs/>
              </w:rPr>
              <w:t xml:space="preserve">EXAMPLE: </w:t>
            </w:r>
            <w:r>
              <w:rPr>
                <w:b/>
                <w:bCs/>
                <w:i/>
                <w:iCs/>
              </w:rPr>
              <w:t xml:space="preserve">Jiwaka </w:t>
            </w:r>
            <w:r>
              <w:rPr>
                <w:b/>
                <w:bCs/>
                <w:i/>
                <w:iCs/>
              </w:rPr>
              <w:t>GBV Strategy (20</w:t>
            </w:r>
            <w:r w:rsidR="00A41F81">
              <w:rPr>
                <w:b/>
                <w:bCs/>
                <w:i/>
                <w:iCs/>
              </w:rPr>
              <w:t>17</w:t>
            </w:r>
            <w:r>
              <w:rPr>
                <w:b/>
                <w:bCs/>
                <w:i/>
                <w:iCs/>
              </w:rPr>
              <w:t>-</w:t>
            </w:r>
            <w:r w:rsidR="00A41F81">
              <w:rPr>
                <w:b/>
                <w:bCs/>
                <w:i/>
                <w:iCs/>
              </w:rPr>
              <w:t>26</w:t>
            </w:r>
            <w:r>
              <w:rPr>
                <w:b/>
                <w:bCs/>
                <w:i/>
                <w:iCs/>
              </w:rPr>
              <w:t>)</w:t>
            </w:r>
          </w:p>
          <w:p w14:paraId="3AC6A948" w14:textId="37ED8953" w:rsidR="00417FE6" w:rsidRDefault="00417FE6" w:rsidP="00445A61">
            <w:pPr>
              <w:spacing w:after="120"/>
              <w:jc w:val="center"/>
              <w:rPr>
                <w:i/>
                <w:iCs/>
              </w:rPr>
            </w:pPr>
            <w:r w:rsidRPr="00A41F81">
              <w:rPr>
                <w:noProof/>
                <w:shd w:val="clear" w:color="auto" w:fill="D9E2F3" w:themeFill="accent1" w:themeFillTint="33"/>
              </w:rPr>
              <w:drawing>
                <wp:inline distT="0" distB="0" distL="0" distR="0" wp14:anchorId="4CDE1E46" wp14:editId="2329F1A7">
                  <wp:extent cx="5591175" cy="38040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8432" cy="3808994"/>
                          </a:xfrm>
                          <a:prstGeom prst="rect">
                            <a:avLst/>
                          </a:prstGeom>
                        </pic:spPr>
                      </pic:pic>
                    </a:graphicData>
                  </a:graphic>
                </wp:inline>
              </w:drawing>
            </w:r>
          </w:p>
        </w:tc>
      </w:tr>
    </w:tbl>
    <w:p w14:paraId="2DFB106D" w14:textId="4CF8CBA9" w:rsidR="00063AFA" w:rsidRDefault="00063AFA" w:rsidP="00A41F81">
      <w:pPr>
        <w:tabs>
          <w:tab w:val="left" w:pos="1065"/>
        </w:tabs>
        <w:spacing w:before="240"/>
        <w:jc w:val="both"/>
        <w:rPr>
          <w:i/>
          <w:iCs/>
        </w:rPr>
      </w:pPr>
      <w:r>
        <w:rPr>
          <w:i/>
          <w:iCs/>
        </w:rPr>
        <w:t xml:space="preserve">Some provinces have adopted a “whole-of-government” approach to their strategy, which recognised that addressing GBV is not the role only of the provincial GBV secretariat or FSVAC, but also depends on actions of other government bodies (most notably, health services, the police and the courts) and civil society service providers. </w:t>
      </w:r>
      <w:r w:rsidR="000B3E4D">
        <w:rPr>
          <w:i/>
          <w:iCs/>
        </w:rPr>
        <w:t xml:space="preserve">These strategies have included these bodies in their implementation, referencing them explicitly as partners, and including them as “responsible parties” in their workplans and/or monitoring frameworks. </w:t>
      </w:r>
    </w:p>
    <w:p w14:paraId="44D8B8DA" w14:textId="0F529DBD" w:rsidR="0045369B" w:rsidRDefault="0045369B" w:rsidP="00464400">
      <w:pPr>
        <w:pStyle w:val="Heading1"/>
      </w:pPr>
      <w:r>
        <w:t xml:space="preserve">Monitoring framework / Performance indicators </w:t>
      </w:r>
    </w:p>
    <w:p w14:paraId="081C93BC" w14:textId="3966581C" w:rsidR="00A317A2" w:rsidRDefault="00A317A2" w:rsidP="00A317A2">
      <w:pPr>
        <w:jc w:val="both"/>
        <w:rPr>
          <w:b/>
          <w:bCs/>
          <w:i/>
          <w:iCs/>
        </w:rPr>
      </w:pPr>
      <w:r>
        <w:rPr>
          <w:b/>
          <w:bCs/>
          <w:i/>
          <w:iCs/>
        </w:rPr>
        <w:t xml:space="preserve">Monitoring </w:t>
      </w:r>
      <w:r>
        <w:rPr>
          <w:b/>
          <w:bCs/>
          <w:i/>
          <w:iCs/>
        </w:rPr>
        <w:t>framework</w:t>
      </w:r>
    </w:p>
    <w:p w14:paraId="40404194" w14:textId="77777777" w:rsidR="00C860F4" w:rsidRDefault="006602A8" w:rsidP="00097C43">
      <w:pPr>
        <w:jc w:val="both"/>
        <w:rPr>
          <w:i/>
          <w:iCs/>
        </w:rPr>
      </w:pPr>
      <w:r w:rsidRPr="006602A8">
        <w:rPr>
          <w:i/>
          <w:iCs/>
        </w:rPr>
        <w:t xml:space="preserve">The strategy </w:t>
      </w:r>
      <w:r>
        <w:rPr>
          <w:i/>
          <w:iCs/>
        </w:rPr>
        <w:t xml:space="preserve">should include a simple monitoring framework, which can be used to track your progress implementing the strategy over time. Existing provincial GBV strategies have taken different approaches to developing their monitoring framework. </w:t>
      </w:r>
    </w:p>
    <w:p w14:paraId="733EA133" w14:textId="268E9867" w:rsidR="00C21F14" w:rsidRPr="006602A8" w:rsidRDefault="006602A8" w:rsidP="00097C43">
      <w:pPr>
        <w:jc w:val="both"/>
        <w:rPr>
          <w:i/>
          <w:iCs/>
        </w:rPr>
      </w:pPr>
      <w:r>
        <w:rPr>
          <w:i/>
          <w:iCs/>
        </w:rPr>
        <w:lastRenderedPageBreak/>
        <w:t xml:space="preserve">Some </w:t>
      </w:r>
      <w:r w:rsidR="00C860F4">
        <w:rPr>
          <w:i/>
          <w:iCs/>
        </w:rPr>
        <w:t xml:space="preserve">provinces </w:t>
      </w:r>
      <w:r>
        <w:rPr>
          <w:i/>
          <w:iCs/>
        </w:rPr>
        <w:t>have included the performance indicators in the main text as a table</w:t>
      </w:r>
      <w:r w:rsidR="00C860F4">
        <w:rPr>
          <w:i/>
          <w:iCs/>
        </w:rPr>
        <w:t xml:space="preserve"> (see boxed example below)</w:t>
      </w:r>
      <w:r>
        <w:rPr>
          <w:i/>
          <w:iCs/>
        </w:rPr>
        <w:t>, some have included it as part of their annexed workplan (see Annex</w:t>
      </w:r>
      <w:r w:rsidR="004D7E26">
        <w:rPr>
          <w:i/>
          <w:iCs/>
        </w:rPr>
        <w:t>es</w:t>
      </w:r>
      <w:r>
        <w:rPr>
          <w:i/>
          <w:iCs/>
        </w:rPr>
        <w:t xml:space="preserve"> </w:t>
      </w:r>
      <w:r w:rsidR="004D7E26">
        <w:rPr>
          <w:i/>
          <w:iCs/>
        </w:rPr>
        <w:t xml:space="preserve">1, 2, </w:t>
      </w:r>
      <w:r w:rsidR="00A47F46">
        <w:rPr>
          <w:i/>
          <w:iCs/>
        </w:rPr>
        <w:t>4</w:t>
      </w:r>
      <w:r w:rsidR="004D7E26">
        <w:rPr>
          <w:i/>
          <w:iCs/>
        </w:rPr>
        <w:t xml:space="preserve"> and 5</w:t>
      </w:r>
      <w:r>
        <w:rPr>
          <w:i/>
          <w:iCs/>
        </w:rPr>
        <w:t xml:space="preserve"> for example</w:t>
      </w:r>
      <w:r w:rsidR="004D7E26">
        <w:rPr>
          <w:i/>
          <w:iCs/>
        </w:rPr>
        <w:t>s</w:t>
      </w:r>
      <w:r>
        <w:rPr>
          <w:i/>
          <w:iCs/>
        </w:rPr>
        <w:t>)</w:t>
      </w:r>
      <w:r w:rsidR="00C860F4">
        <w:rPr>
          <w:i/>
          <w:iCs/>
        </w:rPr>
        <w:t>. There is no one way</w:t>
      </w:r>
      <w:r w:rsidR="004D7E26">
        <w:rPr>
          <w:i/>
          <w:iCs/>
        </w:rPr>
        <w:t xml:space="preserve"> that is right; it </w:t>
      </w:r>
      <w:r w:rsidR="00C860F4">
        <w:rPr>
          <w:i/>
          <w:iCs/>
        </w:rPr>
        <w:t xml:space="preserve">is </w:t>
      </w:r>
      <w:r w:rsidR="004D7E26">
        <w:rPr>
          <w:i/>
          <w:iCs/>
        </w:rPr>
        <w:t xml:space="preserve">simply </w:t>
      </w:r>
      <w:r w:rsidR="00C860F4">
        <w:rPr>
          <w:i/>
          <w:iCs/>
        </w:rPr>
        <w:t xml:space="preserve">important to develop clear, time-bound indicators that will help you to assess whether you are making real progress. </w:t>
      </w:r>
    </w:p>
    <w:tbl>
      <w:tblPr>
        <w:tblStyle w:val="TableGrid"/>
        <w:tblW w:w="0" w:type="auto"/>
        <w:tblLook w:val="04A0" w:firstRow="1" w:lastRow="0" w:firstColumn="1" w:lastColumn="0" w:noHBand="0" w:noVBand="1"/>
      </w:tblPr>
      <w:tblGrid>
        <w:gridCol w:w="9016"/>
      </w:tblGrid>
      <w:tr w:rsidR="00C860F4" w14:paraId="056E3670" w14:textId="77777777" w:rsidTr="00C860F4">
        <w:tc>
          <w:tcPr>
            <w:tcW w:w="9016" w:type="dxa"/>
            <w:shd w:val="clear" w:color="auto" w:fill="D9E2F3" w:themeFill="accent1" w:themeFillTint="33"/>
          </w:tcPr>
          <w:p w14:paraId="71E15C3E" w14:textId="77777777" w:rsidR="00C860F4" w:rsidRDefault="00C860F4" w:rsidP="00C860F4">
            <w:pPr>
              <w:spacing w:before="120" w:after="120"/>
              <w:jc w:val="center"/>
              <w:rPr>
                <w:b/>
                <w:bCs/>
                <w:i/>
                <w:iCs/>
              </w:rPr>
            </w:pPr>
            <w:r>
              <w:rPr>
                <w:b/>
                <w:bCs/>
                <w:i/>
                <w:iCs/>
              </w:rPr>
              <w:t>EXAMPLE: Sandaun Provincial GBV Strategic Plan (2016-19)</w:t>
            </w:r>
          </w:p>
          <w:p w14:paraId="44CCF20A" w14:textId="1243255E" w:rsidR="00C860F4" w:rsidRDefault="00C860F4" w:rsidP="00505CBA">
            <w:pPr>
              <w:spacing w:after="120"/>
              <w:jc w:val="center"/>
              <w:rPr>
                <w:b/>
                <w:bCs/>
                <w:i/>
                <w:iCs/>
              </w:rPr>
            </w:pPr>
            <w:r>
              <w:rPr>
                <w:noProof/>
              </w:rPr>
              <w:drawing>
                <wp:inline distT="0" distB="0" distL="0" distR="0" wp14:anchorId="24EAC780" wp14:editId="08C6186A">
                  <wp:extent cx="5009824" cy="257651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4048" cy="2594114"/>
                          </a:xfrm>
                          <a:prstGeom prst="rect">
                            <a:avLst/>
                          </a:prstGeom>
                        </pic:spPr>
                      </pic:pic>
                    </a:graphicData>
                  </a:graphic>
                </wp:inline>
              </w:drawing>
            </w:r>
          </w:p>
        </w:tc>
      </w:tr>
    </w:tbl>
    <w:p w14:paraId="1D8B7CB9" w14:textId="11EA1536" w:rsidR="00097C43" w:rsidRDefault="00445A61" w:rsidP="00FD34E2">
      <w:pPr>
        <w:keepNext/>
        <w:jc w:val="both"/>
        <w:rPr>
          <w:b/>
          <w:bCs/>
          <w:i/>
          <w:iCs/>
        </w:rPr>
      </w:pPr>
      <w:r>
        <w:rPr>
          <w:b/>
          <w:bCs/>
          <w:i/>
          <w:iCs/>
        </w:rPr>
        <w:br/>
      </w:r>
      <w:r w:rsidR="00097C43">
        <w:rPr>
          <w:b/>
          <w:bCs/>
          <w:i/>
          <w:iCs/>
        </w:rPr>
        <w:t>Reporting framework</w:t>
      </w:r>
    </w:p>
    <w:p w14:paraId="0B3C8892" w14:textId="2D34E326" w:rsidR="00097C43" w:rsidRDefault="00C21F14" w:rsidP="00097C43">
      <w:pPr>
        <w:jc w:val="both"/>
        <w:rPr>
          <w:i/>
          <w:iCs/>
        </w:rPr>
      </w:pPr>
      <w:r>
        <w:rPr>
          <w:i/>
          <w:iCs/>
        </w:rPr>
        <w:t xml:space="preserve">Ideally, an annual report should be produced – by the Provincial GBV Secretariat or focal point – providing an update on implementation of the strategy. This should be </w:t>
      </w:r>
      <w:r w:rsidR="00E145D9">
        <w:rPr>
          <w:i/>
          <w:iCs/>
        </w:rPr>
        <w:t xml:space="preserve">noted </w:t>
      </w:r>
      <w:r>
        <w:rPr>
          <w:i/>
          <w:iCs/>
        </w:rPr>
        <w:t xml:space="preserve">in the strategy, which should make clear who should produce the report and by when, i.e by 31 January of the following year. </w:t>
      </w:r>
    </w:p>
    <w:p w14:paraId="2CE2D105" w14:textId="290E947B" w:rsidR="00C21F14" w:rsidRDefault="00C21F14" w:rsidP="00097C43">
      <w:pPr>
        <w:jc w:val="both"/>
        <w:rPr>
          <w:i/>
          <w:iCs/>
        </w:rPr>
      </w:pPr>
      <w:r>
        <w:rPr>
          <w:i/>
          <w:iCs/>
        </w:rPr>
        <w:t>The reporting framework should also specif</w:t>
      </w:r>
      <w:r w:rsidR="00211377">
        <w:rPr>
          <w:i/>
          <w:iCs/>
        </w:rPr>
        <w:t>y</w:t>
      </w:r>
      <w:r>
        <w:rPr>
          <w:i/>
          <w:iCs/>
        </w:rPr>
        <w:t xml:space="preserve"> to whom the annual report should be submitted. Ideally, the annual report should be shared with the National GBV Secretariat, to enable them to monitor GBV activities across the country. It should also be provided to the Governor, </w:t>
      </w:r>
      <w:r>
        <w:rPr>
          <w:i/>
          <w:iCs/>
        </w:rPr>
        <w:t>the Provincial Assembly</w:t>
      </w:r>
      <w:r>
        <w:rPr>
          <w:i/>
          <w:iCs/>
        </w:rPr>
        <w:t xml:space="preserve"> and the Provincial Administration. </w:t>
      </w:r>
    </w:p>
    <w:p w14:paraId="0E83B880" w14:textId="2C7EFB4D" w:rsidR="00B14F08" w:rsidRDefault="00B14F08" w:rsidP="007C2EA9">
      <w:pPr>
        <w:sectPr w:rsidR="00B14F08" w:rsidSect="00B14F08">
          <w:footerReference w:type="default" r:id="rId21"/>
          <w:pgSz w:w="11906" w:h="16838"/>
          <w:pgMar w:top="1260" w:right="1440" w:bottom="1080" w:left="1440" w:header="720" w:footer="720" w:gutter="0"/>
          <w:cols w:space="720"/>
          <w:titlePg/>
          <w:docGrid w:linePitch="360"/>
        </w:sectPr>
      </w:pPr>
    </w:p>
    <w:p w14:paraId="06BCBB32" w14:textId="2354F12D" w:rsidR="00FD37B2" w:rsidRPr="00FD37B2" w:rsidRDefault="00FD37B2" w:rsidP="00FD37B2">
      <w:pPr>
        <w:rPr>
          <w:b/>
          <w:color w:val="0070C0"/>
          <w:sz w:val="24"/>
          <w:szCs w:val="24"/>
        </w:rPr>
      </w:pPr>
      <w:r w:rsidRPr="00FD37B2">
        <w:rPr>
          <w:b/>
          <w:color w:val="0070C0"/>
          <w:sz w:val="24"/>
          <w:szCs w:val="24"/>
        </w:rPr>
        <w:lastRenderedPageBreak/>
        <w:t>Annex 1: Morobe GBV Strategy outcomes &amp; outputs (monitoring framework)</w:t>
      </w:r>
    </w:p>
    <w:p w14:paraId="2D4D438D" w14:textId="789B0090" w:rsidR="00FD37B2" w:rsidRDefault="00704F8F" w:rsidP="00704F8F">
      <w:r>
        <w:rPr>
          <w:noProof/>
        </w:rPr>
        <w:drawing>
          <wp:inline distT="0" distB="0" distL="0" distR="0" wp14:anchorId="72CBB199" wp14:editId="4F6213AF">
            <wp:extent cx="7710652" cy="517175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28223" cy="5183542"/>
                    </a:xfrm>
                    <a:prstGeom prst="rect">
                      <a:avLst/>
                    </a:prstGeom>
                  </pic:spPr>
                </pic:pic>
              </a:graphicData>
            </a:graphic>
          </wp:inline>
        </w:drawing>
      </w:r>
    </w:p>
    <w:p w14:paraId="6D718C0C" w14:textId="38168C64" w:rsidR="00CE2488" w:rsidRDefault="00CE2488" w:rsidP="00704F8F"/>
    <w:p w14:paraId="1B338652" w14:textId="4035E27D" w:rsidR="00FD37B2" w:rsidRPr="00FD37B2" w:rsidRDefault="00FD37B2" w:rsidP="00FD37B2">
      <w:pPr>
        <w:rPr>
          <w:b/>
          <w:color w:val="0070C0"/>
          <w:sz w:val="24"/>
          <w:szCs w:val="24"/>
        </w:rPr>
      </w:pPr>
      <w:r>
        <w:br w:type="page"/>
      </w:r>
      <w:r w:rsidRPr="00FD37B2">
        <w:rPr>
          <w:b/>
          <w:color w:val="0070C0"/>
          <w:sz w:val="24"/>
          <w:szCs w:val="24"/>
        </w:rPr>
        <w:lastRenderedPageBreak/>
        <w:t xml:space="preserve">Annex </w:t>
      </w:r>
      <w:r w:rsidR="00234BCC">
        <w:rPr>
          <w:b/>
          <w:color w:val="0070C0"/>
          <w:sz w:val="24"/>
          <w:szCs w:val="24"/>
        </w:rPr>
        <w:t>2</w:t>
      </w:r>
      <w:r w:rsidRPr="00FD37B2">
        <w:rPr>
          <w:b/>
          <w:color w:val="0070C0"/>
          <w:sz w:val="24"/>
          <w:szCs w:val="24"/>
        </w:rPr>
        <w:t xml:space="preserve">: </w:t>
      </w:r>
      <w:r>
        <w:rPr>
          <w:b/>
          <w:color w:val="0070C0"/>
          <w:sz w:val="24"/>
          <w:szCs w:val="24"/>
        </w:rPr>
        <w:t>Jiwaka</w:t>
      </w:r>
      <w:r w:rsidRPr="00FD37B2">
        <w:rPr>
          <w:b/>
          <w:color w:val="0070C0"/>
          <w:sz w:val="24"/>
          <w:szCs w:val="24"/>
        </w:rPr>
        <w:t xml:space="preserve"> GBV Strategy </w:t>
      </w:r>
      <w:r>
        <w:rPr>
          <w:b/>
          <w:color w:val="0070C0"/>
          <w:sz w:val="24"/>
          <w:szCs w:val="24"/>
        </w:rPr>
        <w:t>– multi-year workplan</w:t>
      </w:r>
      <w:r w:rsidR="004D7E26">
        <w:rPr>
          <w:b/>
          <w:color w:val="0070C0"/>
          <w:sz w:val="24"/>
          <w:szCs w:val="24"/>
        </w:rPr>
        <w:t xml:space="preserve">, </w:t>
      </w:r>
      <w:r>
        <w:rPr>
          <w:b/>
          <w:color w:val="0070C0"/>
          <w:sz w:val="24"/>
          <w:szCs w:val="24"/>
        </w:rPr>
        <w:t xml:space="preserve">budget </w:t>
      </w:r>
      <w:r w:rsidR="004D7E26">
        <w:rPr>
          <w:b/>
          <w:color w:val="0070C0"/>
          <w:sz w:val="24"/>
          <w:szCs w:val="24"/>
        </w:rPr>
        <w:t xml:space="preserve">and indicators </w:t>
      </w:r>
    </w:p>
    <w:p w14:paraId="4A01D0BF" w14:textId="77777777" w:rsidR="00A228F5" w:rsidRDefault="00FD37B2" w:rsidP="00704F8F">
      <w:r>
        <w:rPr>
          <w:noProof/>
        </w:rPr>
        <w:drawing>
          <wp:inline distT="0" distB="0" distL="0" distR="0" wp14:anchorId="25430469" wp14:editId="4AF5EFD1">
            <wp:extent cx="8462963" cy="534446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66048" cy="5346417"/>
                    </a:xfrm>
                    <a:prstGeom prst="rect">
                      <a:avLst/>
                    </a:prstGeom>
                  </pic:spPr>
                </pic:pic>
              </a:graphicData>
            </a:graphic>
          </wp:inline>
        </w:drawing>
      </w:r>
    </w:p>
    <w:p w14:paraId="1DEF888C" w14:textId="5B1D8083" w:rsidR="00D55C62" w:rsidRDefault="00D55C62" w:rsidP="00D55C62">
      <w:pPr>
        <w:sectPr w:rsidR="00D55C62" w:rsidSect="00704F8F">
          <w:pgSz w:w="16838" w:h="11906" w:orient="landscape"/>
          <w:pgMar w:top="990" w:right="1440" w:bottom="1440" w:left="1080" w:header="720" w:footer="720" w:gutter="0"/>
          <w:cols w:space="720"/>
          <w:titlePg/>
          <w:docGrid w:linePitch="360"/>
        </w:sectPr>
      </w:pPr>
    </w:p>
    <w:p w14:paraId="73D98631" w14:textId="7551C1DE" w:rsidR="00A228F5" w:rsidRPr="00FD37B2" w:rsidRDefault="00A228F5" w:rsidP="00A228F5">
      <w:pPr>
        <w:rPr>
          <w:b/>
          <w:color w:val="0070C0"/>
          <w:sz w:val="24"/>
          <w:szCs w:val="24"/>
        </w:rPr>
      </w:pPr>
      <w:r w:rsidRPr="00FD37B2">
        <w:rPr>
          <w:b/>
          <w:color w:val="0070C0"/>
          <w:sz w:val="24"/>
          <w:szCs w:val="24"/>
        </w:rPr>
        <w:lastRenderedPageBreak/>
        <w:t xml:space="preserve">Annex </w:t>
      </w:r>
      <w:r w:rsidR="00234BCC">
        <w:rPr>
          <w:b/>
          <w:color w:val="0070C0"/>
          <w:sz w:val="24"/>
          <w:szCs w:val="24"/>
        </w:rPr>
        <w:t>3</w:t>
      </w:r>
      <w:r w:rsidRPr="00FD37B2">
        <w:rPr>
          <w:b/>
          <w:color w:val="0070C0"/>
          <w:sz w:val="24"/>
          <w:szCs w:val="24"/>
        </w:rPr>
        <w:t xml:space="preserve">: </w:t>
      </w:r>
      <w:r>
        <w:rPr>
          <w:b/>
          <w:color w:val="0070C0"/>
          <w:sz w:val="24"/>
          <w:szCs w:val="24"/>
        </w:rPr>
        <w:t xml:space="preserve">Sandaun </w:t>
      </w:r>
      <w:r w:rsidRPr="00FD37B2">
        <w:rPr>
          <w:b/>
          <w:color w:val="0070C0"/>
          <w:sz w:val="24"/>
          <w:szCs w:val="24"/>
        </w:rPr>
        <w:t xml:space="preserve">GBV Strategy </w:t>
      </w:r>
      <w:r>
        <w:rPr>
          <w:b/>
          <w:color w:val="0070C0"/>
          <w:sz w:val="24"/>
          <w:szCs w:val="24"/>
        </w:rPr>
        <w:t xml:space="preserve">– </w:t>
      </w:r>
      <w:r>
        <w:rPr>
          <w:b/>
          <w:color w:val="0070C0"/>
          <w:sz w:val="24"/>
          <w:szCs w:val="24"/>
        </w:rPr>
        <w:t xml:space="preserve">annual activity plan </w:t>
      </w:r>
      <w:r>
        <w:rPr>
          <w:b/>
          <w:color w:val="0070C0"/>
          <w:sz w:val="24"/>
          <w:szCs w:val="24"/>
        </w:rPr>
        <w:t xml:space="preserve">and budget </w:t>
      </w:r>
    </w:p>
    <w:p w14:paraId="785C2D1D" w14:textId="77777777" w:rsidR="00D55C62" w:rsidRDefault="00A228F5" w:rsidP="00704F8F">
      <w:pPr>
        <w:sectPr w:rsidR="00D55C62" w:rsidSect="00A228F5">
          <w:pgSz w:w="11906" w:h="16838"/>
          <w:pgMar w:top="1440" w:right="1440" w:bottom="1080" w:left="990" w:header="720" w:footer="720" w:gutter="0"/>
          <w:cols w:space="720"/>
          <w:titlePg/>
          <w:docGrid w:linePitch="360"/>
        </w:sectPr>
      </w:pPr>
      <w:r>
        <w:rPr>
          <w:noProof/>
        </w:rPr>
        <w:drawing>
          <wp:inline distT="0" distB="0" distL="0" distR="0" wp14:anchorId="3B22BD75" wp14:editId="4A36E08F">
            <wp:extent cx="5874810" cy="8249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0986" cy="8257958"/>
                    </a:xfrm>
                    <a:prstGeom prst="rect">
                      <a:avLst/>
                    </a:prstGeom>
                  </pic:spPr>
                </pic:pic>
              </a:graphicData>
            </a:graphic>
          </wp:inline>
        </w:drawing>
      </w:r>
    </w:p>
    <w:p w14:paraId="55CF44C6" w14:textId="505A3E99" w:rsidR="00234BCC" w:rsidRDefault="00234BCC" w:rsidP="00234BCC">
      <w:pPr>
        <w:spacing w:after="0"/>
        <w:rPr>
          <w:b/>
          <w:color w:val="0070C0"/>
          <w:sz w:val="24"/>
          <w:szCs w:val="24"/>
        </w:rPr>
      </w:pPr>
      <w:r w:rsidRPr="00FD37B2">
        <w:rPr>
          <w:b/>
          <w:color w:val="0070C0"/>
          <w:sz w:val="24"/>
          <w:szCs w:val="24"/>
        </w:rPr>
        <w:lastRenderedPageBreak/>
        <w:t xml:space="preserve">Annex </w:t>
      </w:r>
      <w:r>
        <w:rPr>
          <w:b/>
          <w:color w:val="0070C0"/>
          <w:sz w:val="24"/>
          <w:szCs w:val="24"/>
        </w:rPr>
        <w:t>4</w:t>
      </w:r>
      <w:r w:rsidRPr="00FD37B2">
        <w:rPr>
          <w:b/>
          <w:color w:val="0070C0"/>
          <w:sz w:val="24"/>
          <w:szCs w:val="24"/>
        </w:rPr>
        <w:t xml:space="preserve">: </w:t>
      </w:r>
      <w:r>
        <w:rPr>
          <w:b/>
          <w:color w:val="0070C0"/>
          <w:sz w:val="24"/>
          <w:szCs w:val="24"/>
        </w:rPr>
        <w:t xml:space="preserve">NCD </w:t>
      </w:r>
      <w:r w:rsidRPr="00FD37B2">
        <w:rPr>
          <w:b/>
          <w:color w:val="0070C0"/>
          <w:sz w:val="24"/>
          <w:szCs w:val="24"/>
        </w:rPr>
        <w:t>GBV Strategy</w:t>
      </w:r>
      <w:r>
        <w:rPr>
          <w:b/>
          <w:color w:val="0070C0"/>
          <w:sz w:val="24"/>
          <w:szCs w:val="24"/>
        </w:rPr>
        <w:t xml:space="preserve"> 2020-22</w:t>
      </w:r>
      <w:r w:rsidRPr="00FD37B2">
        <w:rPr>
          <w:b/>
          <w:color w:val="0070C0"/>
          <w:sz w:val="24"/>
          <w:szCs w:val="24"/>
        </w:rPr>
        <w:t xml:space="preserve"> outcomes &amp; outputs (monitoring framework)</w:t>
      </w:r>
      <w:r>
        <w:rPr>
          <w:b/>
          <w:color w:val="0070C0"/>
          <w:sz w:val="24"/>
          <w:szCs w:val="24"/>
        </w:rPr>
        <w:t xml:space="preserve"> *</w:t>
      </w:r>
    </w:p>
    <w:p w14:paraId="0B8E31AE" w14:textId="77777777" w:rsidR="00234BCC" w:rsidRPr="00CE2488" w:rsidRDefault="00234BCC" w:rsidP="00234BCC">
      <w:pPr>
        <w:spacing w:after="0"/>
        <w:rPr>
          <w:i/>
          <w:iCs/>
        </w:rPr>
      </w:pPr>
      <w:r w:rsidRPr="00CE2488">
        <w:rPr>
          <w:i/>
          <w:iCs/>
        </w:rPr>
        <w:t>* The final column “objectives” should read “indicator”</w:t>
      </w:r>
    </w:p>
    <w:p w14:paraId="69149A34" w14:textId="77777777" w:rsidR="00234BCC" w:rsidRDefault="00234BCC" w:rsidP="00234BCC">
      <w:r>
        <w:rPr>
          <w:noProof/>
        </w:rPr>
        <w:drawing>
          <wp:inline distT="0" distB="0" distL="0" distR="0" wp14:anchorId="566CAD5B" wp14:editId="22436E8D">
            <wp:extent cx="8167261" cy="537686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549"/>
                    <a:stretch/>
                  </pic:blipFill>
                  <pic:spPr bwMode="auto">
                    <a:xfrm>
                      <a:off x="0" y="0"/>
                      <a:ext cx="8169866" cy="5378578"/>
                    </a:xfrm>
                    <a:prstGeom prst="rect">
                      <a:avLst/>
                    </a:prstGeom>
                    <a:ln>
                      <a:noFill/>
                    </a:ln>
                    <a:extLst>
                      <a:ext uri="{53640926-AAD7-44D8-BBD7-CCE9431645EC}">
                        <a14:shadowObscured xmlns:a14="http://schemas.microsoft.com/office/drawing/2010/main"/>
                      </a:ext>
                    </a:extLst>
                  </pic:spPr>
                </pic:pic>
              </a:graphicData>
            </a:graphic>
          </wp:inline>
        </w:drawing>
      </w:r>
    </w:p>
    <w:p w14:paraId="17725495" w14:textId="6FA48866" w:rsidR="00D55C62" w:rsidRPr="00FD37B2" w:rsidRDefault="00D55C62" w:rsidP="00D55C62">
      <w:pPr>
        <w:rPr>
          <w:b/>
          <w:color w:val="0070C0"/>
          <w:sz w:val="24"/>
          <w:szCs w:val="24"/>
        </w:rPr>
      </w:pPr>
      <w:r w:rsidRPr="00FD37B2">
        <w:rPr>
          <w:b/>
          <w:color w:val="0070C0"/>
          <w:sz w:val="24"/>
          <w:szCs w:val="24"/>
        </w:rPr>
        <w:lastRenderedPageBreak/>
        <w:t xml:space="preserve">Annex </w:t>
      </w:r>
      <w:r w:rsidR="003E027E">
        <w:rPr>
          <w:b/>
          <w:color w:val="0070C0"/>
          <w:sz w:val="24"/>
          <w:szCs w:val="24"/>
        </w:rPr>
        <w:t>5</w:t>
      </w:r>
      <w:r w:rsidRPr="00FD37B2">
        <w:rPr>
          <w:b/>
          <w:color w:val="0070C0"/>
          <w:sz w:val="24"/>
          <w:szCs w:val="24"/>
        </w:rPr>
        <w:t xml:space="preserve">: </w:t>
      </w:r>
      <w:r>
        <w:rPr>
          <w:b/>
          <w:color w:val="0070C0"/>
          <w:sz w:val="24"/>
          <w:szCs w:val="24"/>
        </w:rPr>
        <w:t xml:space="preserve">NCDC </w:t>
      </w:r>
      <w:r w:rsidRPr="00FD37B2">
        <w:rPr>
          <w:b/>
          <w:color w:val="0070C0"/>
          <w:sz w:val="24"/>
          <w:szCs w:val="24"/>
        </w:rPr>
        <w:t xml:space="preserve">GBV Strategy </w:t>
      </w:r>
      <w:r>
        <w:rPr>
          <w:b/>
          <w:color w:val="0070C0"/>
          <w:sz w:val="24"/>
          <w:szCs w:val="24"/>
        </w:rPr>
        <w:t>(2016-18) –</w:t>
      </w:r>
      <w:r>
        <w:rPr>
          <w:b/>
          <w:color w:val="0070C0"/>
          <w:sz w:val="24"/>
          <w:szCs w:val="24"/>
        </w:rPr>
        <w:t xml:space="preserve"> W</w:t>
      </w:r>
      <w:r>
        <w:rPr>
          <w:b/>
          <w:color w:val="0070C0"/>
          <w:sz w:val="24"/>
          <w:szCs w:val="24"/>
        </w:rPr>
        <w:t>orkplan</w:t>
      </w:r>
      <w:r>
        <w:rPr>
          <w:b/>
          <w:color w:val="0070C0"/>
          <w:sz w:val="24"/>
          <w:szCs w:val="24"/>
        </w:rPr>
        <w:t xml:space="preserve"> &amp; Monitoring Framework </w:t>
      </w:r>
    </w:p>
    <w:p w14:paraId="24CAE9A6" w14:textId="0BA5A174" w:rsidR="00D55C62" w:rsidRDefault="00D55C62" w:rsidP="00704F8F">
      <w:r>
        <w:rPr>
          <w:noProof/>
        </w:rPr>
        <w:drawing>
          <wp:inline distT="0" distB="0" distL="0" distR="0" wp14:anchorId="2B24B7A4" wp14:editId="616C1D1C">
            <wp:extent cx="7539038" cy="5044123"/>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47153" cy="5049552"/>
                    </a:xfrm>
                    <a:prstGeom prst="rect">
                      <a:avLst/>
                    </a:prstGeom>
                  </pic:spPr>
                </pic:pic>
              </a:graphicData>
            </a:graphic>
          </wp:inline>
        </w:drawing>
      </w:r>
    </w:p>
    <w:sectPr w:rsidR="00D55C62" w:rsidSect="00D55C62">
      <w:pgSz w:w="16838" w:h="11906" w:orient="landscape"/>
      <w:pgMar w:top="990" w:right="144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50DAB" w14:textId="77777777" w:rsidR="007426D3" w:rsidRDefault="007426D3" w:rsidP="0078400E">
      <w:pPr>
        <w:spacing w:after="0" w:line="240" w:lineRule="auto"/>
      </w:pPr>
      <w:r>
        <w:separator/>
      </w:r>
    </w:p>
  </w:endnote>
  <w:endnote w:type="continuationSeparator" w:id="0">
    <w:p w14:paraId="40A48926" w14:textId="77777777" w:rsidR="007426D3" w:rsidRDefault="007426D3" w:rsidP="0078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844500"/>
      <w:docPartObj>
        <w:docPartGallery w:val="Page Numbers (Bottom of Page)"/>
        <w:docPartUnique/>
      </w:docPartObj>
    </w:sdtPr>
    <w:sdtEndPr>
      <w:rPr>
        <w:color w:val="7F7F7F" w:themeColor="background1" w:themeShade="7F"/>
        <w:spacing w:val="60"/>
      </w:rPr>
    </w:sdtEndPr>
    <w:sdtContent>
      <w:p w14:paraId="33AA41D9" w14:textId="009721E5" w:rsidR="0078400E" w:rsidRDefault="0078400E" w:rsidP="0078400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A4F51" w14:textId="77777777" w:rsidR="007426D3" w:rsidRDefault="007426D3" w:rsidP="0078400E">
      <w:pPr>
        <w:spacing w:after="0" w:line="240" w:lineRule="auto"/>
      </w:pPr>
      <w:r>
        <w:separator/>
      </w:r>
    </w:p>
  </w:footnote>
  <w:footnote w:type="continuationSeparator" w:id="0">
    <w:p w14:paraId="18031ABA" w14:textId="77777777" w:rsidR="007426D3" w:rsidRDefault="007426D3" w:rsidP="0078400E">
      <w:pPr>
        <w:spacing w:after="0" w:line="240" w:lineRule="auto"/>
      </w:pPr>
      <w:r>
        <w:continuationSeparator/>
      </w:r>
    </w:p>
  </w:footnote>
  <w:footnote w:id="1">
    <w:p w14:paraId="468EF5EC" w14:textId="2DEA8BC2" w:rsidR="00063AFA" w:rsidRPr="00063AFA" w:rsidRDefault="00063AFA">
      <w:pPr>
        <w:pStyle w:val="FootnoteText"/>
        <w:rPr>
          <w:lang w:val="en-US"/>
        </w:rPr>
      </w:pPr>
      <w:r>
        <w:rPr>
          <w:rStyle w:val="FootnoteReference"/>
        </w:rPr>
        <w:footnoteRef/>
      </w:r>
      <w:r>
        <w:t xml:space="preserve"> </w:t>
      </w:r>
      <w:r>
        <w:rPr>
          <w:i/>
          <w:iCs/>
        </w:rPr>
        <w:t>S</w:t>
      </w:r>
      <w:r>
        <w:rPr>
          <w:i/>
          <w:iCs/>
        </w:rPr>
        <w:t xml:space="preserve">ome of </w:t>
      </w:r>
      <w:r>
        <w:rPr>
          <w:i/>
          <w:iCs/>
        </w:rPr>
        <w:t xml:space="preserve">these </w:t>
      </w:r>
      <w:r>
        <w:rPr>
          <w:i/>
          <w:iCs/>
        </w:rPr>
        <w:t xml:space="preserve">have </w:t>
      </w:r>
      <w:r>
        <w:rPr>
          <w:i/>
          <w:iCs/>
        </w:rPr>
        <w:t xml:space="preserve">now </w:t>
      </w:r>
      <w:r>
        <w:rPr>
          <w:i/>
          <w:iCs/>
        </w:rPr>
        <w:t>been renamed as GBV Action Committees (GBVAC).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0820"/>
    <w:multiLevelType w:val="hybridMultilevel"/>
    <w:tmpl w:val="6464D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484A3A"/>
    <w:multiLevelType w:val="multilevel"/>
    <w:tmpl w:val="BE58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1338F"/>
    <w:multiLevelType w:val="hybridMultilevel"/>
    <w:tmpl w:val="8194A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916914"/>
    <w:multiLevelType w:val="hybridMultilevel"/>
    <w:tmpl w:val="244CE5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A45F3E"/>
    <w:multiLevelType w:val="hybridMultilevel"/>
    <w:tmpl w:val="E7A8CA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5B4140"/>
    <w:multiLevelType w:val="multilevel"/>
    <w:tmpl w:val="00C8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8555F"/>
    <w:multiLevelType w:val="multilevel"/>
    <w:tmpl w:val="D5FA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44681"/>
    <w:multiLevelType w:val="hybridMultilevel"/>
    <w:tmpl w:val="C3948BC6"/>
    <w:lvl w:ilvl="0" w:tplc="5BD8FDCA">
      <w:start w:val="7"/>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513E2E"/>
    <w:multiLevelType w:val="multilevel"/>
    <w:tmpl w:val="32AC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6"/>
  </w:num>
  <w:num w:numId="4">
    <w:abstractNumId w:val="5"/>
  </w:num>
  <w:num w:numId="5">
    <w:abstractNumId w:val="8"/>
  </w:num>
  <w:num w:numId="6">
    <w:abstractNumId w:val="2"/>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B5"/>
    <w:rsid w:val="000112C8"/>
    <w:rsid w:val="0001203C"/>
    <w:rsid w:val="00032890"/>
    <w:rsid w:val="00063AFA"/>
    <w:rsid w:val="00097C43"/>
    <w:rsid w:val="000B3E4D"/>
    <w:rsid w:val="00117513"/>
    <w:rsid w:val="001412C9"/>
    <w:rsid w:val="00150584"/>
    <w:rsid w:val="00174CF6"/>
    <w:rsid w:val="00190A12"/>
    <w:rsid w:val="001948A4"/>
    <w:rsid w:val="00211377"/>
    <w:rsid w:val="00220B80"/>
    <w:rsid w:val="00225986"/>
    <w:rsid w:val="00234BCC"/>
    <w:rsid w:val="00240517"/>
    <w:rsid w:val="00247004"/>
    <w:rsid w:val="002C1263"/>
    <w:rsid w:val="002F7AE7"/>
    <w:rsid w:val="00301566"/>
    <w:rsid w:val="003117F8"/>
    <w:rsid w:val="00337154"/>
    <w:rsid w:val="0034341B"/>
    <w:rsid w:val="00362177"/>
    <w:rsid w:val="003655AF"/>
    <w:rsid w:val="003955F1"/>
    <w:rsid w:val="003A5787"/>
    <w:rsid w:val="003E027E"/>
    <w:rsid w:val="003E1455"/>
    <w:rsid w:val="003F6B76"/>
    <w:rsid w:val="00401046"/>
    <w:rsid w:val="00417FE6"/>
    <w:rsid w:val="00445A61"/>
    <w:rsid w:val="0045369B"/>
    <w:rsid w:val="00464400"/>
    <w:rsid w:val="00474E52"/>
    <w:rsid w:val="0049167B"/>
    <w:rsid w:val="004D7E26"/>
    <w:rsid w:val="004E37C8"/>
    <w:rsid w:val="004E49C6"/>
    <w:rsid w:val="00500420"/>
    <w:rsid w:val="00505CBA"/>
    <w:rsid w:val="005063D4"/>
    <w:rsid w:val="005114B2"/>
    <w:rsid w:val="00523AEE"/>
    <w:rsid w:val="00524366"/>
    <w:rsid w:val="0053273B"/>
    <w:rsid w:val="0056749F"/>
    <w:rsid w:val="00570901"/>
    <w:rsid w:val="00597470"/>
    <w:rsid w:val="005B7A48"/>
    <w:rsid w:val="005E3AB5"/>
    <w:rsid w:val="0063512B"/>
    <w:rsid w:val="00640590"/>
    <w:rsid w:val="006602A8"/>
    <w:rsid w:val="00672034"/>
    <w:rsid w:val="0068718A"/>
    <w:rsid w:val="00687BFE"/>
    <w:rsid w:val="006D1B0C"/>
    <w:rsid w:val="006E48C6"/>
    <w:rsid w:val="006F523B"/>
    <w:rsid w:val="00704F8F"/>
    <w:rsid w:val="007426D3"/>
    <w:rsid w:val="0078400E"/>
    <w:rsid w:val="007B3295"/>
    <w:rsid w:val="007C2EA9"/>
    <w:rsid w:val="007E3847"/>
    <w:rsid w:val="007E5BAF"/>
    <w:rsid w:val="007F71AC"/>
    <w:rsid w:val="00824A99"/>
    <w:rsid w:val="00855FB4"/>
    <w:rsid w:val="00861502"/>
    <w:rsid w:val="0088248E"/>
    <w:rsid w:val="008A2E4C"/>
    <w:rsid w:val="00903053"/>
    <w:rsid w:val="00907B3E"/>
    <w:rsid w:val="00975EFB"/>
    <w:rsid w:val="00980712"/>
    <w:rsid w:val="009B2D58"/>
    <w:rsid w:val="009B4B8C"/>
    <w:rsid w:val="00A05DDF"/>
    <w:rsid w:val="00A07B92"/>
    <w:rsid w:val="00A228F5"/>
    <w:rsid w:val="00A317A2"/>
    <w:rsid w:val="00A320C2"/>
    <w:rsid w:val="00A410FC"/>
    <w:rsid w:val="00A41F81"/>
    <w:rsid w:val="00A470EA"/>
    <w:rsid w:val="00A47F46"/>
    <w:rsid w:val="00AD146E"/>
    <w:rsid w:val="00B13533"/>
    <w:rsid w:val="00B14F08"/>
    <w:rsid w:val="00B23FEC"/>
    <w:rsid w:val="00B3772C"/>
    <w:rsid w:val="00B3795B"/>
    <w:rsid w:val="00B37FB5"/>
    <w:rsid w:val="00B817AE"/>
    <w:rsid w:val="00BC4BD0"/>
    <w:rsid w:val="00C21F14"/>
    <w:rsid w:val="00C23420"/>
    <w:rsid w:val="00C53EE1"/>
    <w:rsid w:val="00C76796"/>
    <w:rsid w:val="00C860F4"/>
    <w:rsid w:val="00C8706C"/>
    <w:rsid w:val="00CB0E50"/>
    <w:rsid w:val="00CE2488"/>
    <w:rsid w:val="00D13594"/>
    <w:rsid w:val="00D55C62"/>
    <w:rsid w:val="00D64D78"/>
    <w:rsid w:val="00D91791"/>
    <w:rsid w:val="00D95626"/>
    <w:rsid w:val="00DA5814"/>
    <w:rsid w:val="00DC3CCE"/>
    <w:rsid w:val="00DE1511"/>
    <w:rsid w:val="00DF1198"/>
    <w:rsid w:val="00E02B69"/>
    <w:rsid w:val="00E145D9"/>
    <w:rsid w:val="00EC2ADA"/>
    <w:rsid w:val="00ED2BC1"/>
    <w:rsid w:val="00ED49A7"/>
    <w:rsid w:val="00EF472F"/>
    <w:rsid w:val="00F06522"/>
    <w:rsid w:val="00F4042F"/>
    <w:rsid w:val="00F878DE"/>
    <w:rsid w:val="00FB661E"/>
    <w:rsid w:val="00FD34E2"/>
    <w:rsid w:val="00FD37B2"/>
    <w:rsid w:val="00FD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8614C"/>
  <w15:chartTrackingRefBased/>
  <w15:docId w15:val="{DB4421AE-FD5B-47CA-A0E2-781B94E5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400"/>
    <w:pPr>
      <w:outlineLvl w:val="0"/>
    </w:pPr>
    <w:rPr>
      <w:b/>
      <w:bCs/>
      <w:color w:val="0070C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03C"/>
    <w:pPr>
      <w:ind w:left="720"/>
      <w:contextualSpacing/>
    </w:pPr>
  </w:style>
  <w:style w:type="paragraph" w:customStyle="1" w:styleId="font8">
    <w:name w:val="font_8"/>
    <w:basedOn w:val="Normal"/>
    <w:rsid w:val="00F0652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r18">
    <w:name w:val="color_18"/>
    <w:basedOn w:val="DefaultParagraphFont"/>
    <w:rsid w:val="00F06522"/>
  </w:style>
  <w:style w:type="character" w:styleId="Hyperlink">
    <w:name w:val="Hyperlink"/>
    <w:basedOn w:val="DefaultParagraphFont"/>
    <w:uiPriority w:val="99"/>
    <w:semiHidden/>
    <w:unhideWhenUsed/>
    <w:rsid w:val="00F06522"/>
    <w:rPr>
      <w:color w:val="0000FF"/>
      <w:u w:val="single"/>
    </w:rPr>
  </w:style>
  <w:style w:type="character" w:customStyle="1" w:styleId="color15">
    <w:name w:val="color_15"/>
    <w:basedOn w:val="DefaultParagraphFont"/>
    <w:rsid w:val="00F06522"/>
  </w:style>
  <w:style w:type="character" w:customStyle="1" w:styleId="wixguard">
    <w:name w:val="wixguard"/>
    <w:basedOn w:val="DefaultParagraphFont"/>
    <w:rsid w:val="00F06522"/>
  </w:style>
  <w:style w:type="paragraph" w:styleId="Header">
    <w:name w:val="header"/>
    <w:basedOn w:val="Normal"/>
    <w:link w:val="HeaderChar"/>
    <w:uiPriority w:val="99"/>
    <w:unhideWhenUsed/>
    <w:rsid w:val="0078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00E"/>
  </w:style>
  <w:style w:type="paragraph" w:styleId="Footer">
    <w:name w:val="footer"/>
    <w:basedOn w:val="Normal"/>
    <w:link w:val="FooterChar"/>
    <w:uiPriority w:val="99"/>
    <w:unhideWhenUsed/>
    <w:rsid w:val="0078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00E"/>
  </w:style>
  <w:style w:type="table" w:styleId="TableGrid">
    <w:name w:val="Table Grid"/>
    <w:basedOn w:val="TableNormal"/>
    <w:uiPriority w:val="39"/>
    <w:rsid w:val="007E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4F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64400"/>
    <w:rPr>
      <w:b/>
      <w:bCs/>
      <w:color w:val="0070C0"/>
      <w:sz w:val="28"/>
      <w:szCs w:val="28"/>
    </w:rPr>
  </w:style>
  <w:style w:type="paragraph" w:styleId="FootnoteText">
    <w:name w:val="footnote text"/>
    <w:basedOn w:val="Normal"/>
    <w:link w:val="FootnoteTextChar"/>
    <w:uiPriority w:val="99"/>
    <w:semiHidden/>
    <w:unhideWhenUsed/>
    <w:rsid w:val="00063A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3AFA"/>
    <w:rPr>
      <w:sz w:val="20"/>
      <w:szCs w:val="20"/>
    </w:rPr>
  </w:style>
  <w:style w:type="character" w:styleId="FootnoteReference">
    <w:name w:val="footnote reference"/>
    <w:basedOn w:val="DefaultParagraphFont"/>
    <w:uiPriority w:val="99"/>
    <w:semiHidden/>
    <w:unhideWhenUsed/>
    <w:rsid w:val="00063A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16954">
      <w:bodyDiv w:val="1"/>
      <w:marLeft w:val="0"/>
      <w:marRight w:val="0"/>
      <w:marTop w:val="0"/>
      <w:marBottom w:val="0"/>
      <w:divBdr>
        <w:top w:val="none" w:sz="0" w:space="0" w:color="auto"/>
        <w:left w:val="none" w:sz="0" w:space="0" w:color="auto"/>
        <w:bottom w:val="none" w:sz="0" w:space="0" w:color="auto"/>
        <w:right w:val="none" w:sz="0" w:space="0" w:color="auto"/>
      </w:divBdr>
    </w:div>
    <w:div w:id="191104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019c6425-665f-436e-a27d-cf729793144f.filesusr.com/ugd/7f0c06_fdf406ec809140c1946918de8b76632f.pdf" TargetMode="External"/><Relationship Id="rId13" Type="http://schemas.openxmlformats.org/officeDocument/2006/relationships/hyperlink" Target="https://019c6425-665f-436e-a27d-cf729793144f.filesusr.com/ugd/7f0c06_951a82038cb145bc99f1792b1d4f4e1f.pdf"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019c6425-665f-436e-a27d-cf729793144f.filesusr.com/ugd/7f0c06_fda2996f10d049f4bc67fb0af8127bb2.docx?dn=ENB%20GBV%20STRATEGIC%20PLAN%202015-2020%20Version" TargetMode="Externa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019c6425-665f-436e-a27d-cf729793144f.filesusr.com/ugd/7f0c06_2a8e87c1420a43d4ac40fa52ad45faf6.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019c6425-665f-436e-a27d-cf729793144f.filesusr.com/ugd/7f0c06_fdf406ec809140c1946918de8b76632f.pdf"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019c6425-665f-436e-a27d-cf729793144f.filesusr.com/ugd/7f0c06_d5f3d4bef80242f6a3cd8f81371643c4.pdf"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019c6425-665f-436e-a27d-cf729793144f.filesusr.com/ugd/7f0c06_bb3dd55f25cf47a6a7b43b34850421d9.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019c6425-665f-436e-a27d-cf729793144f.filesusr.com/ugd/7f0c06_2ed5f3310a884ac1839472bbd0cd0ec8.pdf" TargetMode="External"/><Relationship Id="rId14" Type="http://schemas.openxmlformats.org/officeDocument/2006/relationships/hyperlink" Target="https://019c6425-665f-436e-a27d-cf729793144f.filesusr.com/ugd/7f0c06_906c9b24a1f846ea9b6d6cb296f6f0f5.docx?dn=WBN-GBV%20Strategic%20Plan-Draft.2xx.docx"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D31F9-3DC3-498A-98CE-2C26AF0AD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12</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Charmaine Rodrigues</dc:creator>
  <cp:keywords/>
  <dc:description/>
  <cp:lastModifiedBy>Charmaine Rodrigues</cp:lastModifiedBy>
  <cp:revision>128</cp:revision>
  <dcterms:created xsi:type="dcterms:W3CDTF">2021-07-27T01:22:00Z</dcterms:created>
  <dcterms:modified xsi:type="dcterms:W3CDTF">2021-07-27T06:24:00Z</dcterms:modified>
</cp:coreProperties>
</file>